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2"/>
          <w:szCs w:val="32"/>
        </w:rPr>
      </w:pPr>
      <w:bookmarkStart w:id="69" w:name="_GoBack"/>
      <w:bookmarkEnd w:id="69"/>
      <w:r>
        <w:rPr>
          <w:rFonts w:asciiTheme="minorEastAsia" w:hAnsiTheme="minorEastAsia"/>
          <w:sz w:val="32"/>
          <w:szCs w:val="32"/>
        </w:rPr>
        <w:t>目</w:t>
      </w:r>
      <w:r>
        <w:rPr>
          <w:rFonts w:hint="eastAsia" w:asciiTheme="minorEastAsia" w:hAnsiTheme="minorEastAsia"/>
          <w:sz w:val="32"/>
          <w:szCs w:val="32"/>
        </w:rPr>
        <w:t xml:space="preserve"> </w:t>
      </w:r>
      <w:r>
        <w:rPr>
          <w:rFonts w:asciiTheme="minorEastAsia" w:hAnsiTheme="minorEastAsia"/>
          <w:sz w:val="32"/>
          <w:szCs w:val="32"/>
        </w:rPr>
        <w:t>录</w:t>
      </w:r>
    </w:p>
    <w:p>
      <w:pPr>
        <w:jc w:val="center"/>
        <w:rPr>
          <w:rFonts w:asciiTheme="minorEastAsia" w:hAnsiTheme="minorEastAsia"/>
          <w:sz w:val="32"/>
          <w:szCs w:val="32"/>
        </w:rPr>
      </w:pPr>
    </w:p>
    <w:p>
      <w:pPr>
        <w:spacing w:line="360" w:lineRule="auto"/>
        <w:jc w:val="left"/>
        <w:rPr>
          <w:rFonts w:asciiTheme="minorEastAsia" w:hAnsiTheme="minorEastAsia"/>
          <w:b/>
          <w:sz w:val="24"/>
          <w:szCs w:val="24"/>
        </w:rPr>
      </w:pPr>
      <w:r>
        <w:rPr>
          <w:rFonts w:asciiTheme="minorEastAsia" w:hAnsiTheme="minorEastAsia"/>
          <w:b/>
          <w:sz w:val="24"/>
          <w:szCs w:val="24"/>
        </w:rPr>
        <w:t>一、国家政策法规</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中华人民共国高等教育法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2</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高等学校教师职业道德规范</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asciiTheme="minorEastAsia" w:hAnsiTheme="minorEastAsia"/>
          <w:sz w:val="24"/>
          <w:szCs w:val="24"/>
        </w:rPr>
        <w:t>3.</w:t>
      </w:r>
      <w:r>
        <w:rPr>
          <w:rFonts w:hint="eastAsia"/>
        </w:rPr>
        <w:t xml:space="preserve"> </w:t>
      </w:r>
      <w:r>
        <w:rPr>
          <w:rFonts w:hint="eastAsia" w:asciiTheme="minorEastAsia" w:hAnsiTheme="minorEastAsia"/>
          <w:sz w:val="24"/>
          <w:szCs w:val="24"/>
        </w:rPr>
        <w:t>教育部关于普通高等学校本科教学评估工作的意见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asciiTheme="minorEastAsia" w:hAnsiTheme="minorEastAsia"/>
          <w:sz w:val="24"/>
          <w:szCs w:val="24"/>
        </w:rPr>
        <w:t>4.</w:t>
      </w:r>
      <w:r>
        <w:rPr>
          <w:rFonts w:hint="eastAsia"/>
        </w:rPr>
        <w:t xml:space="preserve"> </w:t>
      </w:r>
      <w:r>
        <w:rPr>
          <w:rFonts w:hint="eastAsia" w:asciiTheme="minorEastAsia" w:hAnsiTheme="minorEastAsia"/>
          <w:sz w:val="24"/>
          <w:szCs w:val="24"/>
        </w:rPr>
        <w:t>关于全面深化新时代教师队伍建设改革的意见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教师教育振兴行动计划（2018-2022）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6</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关于分类推进人才评价机制改革的指导意见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7</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国务院办公厅关于深化高等学校创新创业教育改革的实施意见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40</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8</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教育部关于狠抓新时代全国高等学校本科教育工作会议精神落实的通知</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45</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9</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教育部关于加快建设高水平本科教育全面提高人才培养能力的意见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49</w:t>
      </w:r>
    </w:p>
    <w:p>
      <w:pPr>
        <w:spacing w:line="360" w:lineRule="auto"/>
        <w:jc w:val="left"/>
        <w:rPr>
          <w:rFonts w:asciiTheme="minorEastAsia" w:hAnsiTheme="minorEastAsia"/>
          <w:b/>
          <w:sz w:val="24"/>
          <w:szCs w:val="24"/>
        </w:rPr>
      </w:pPr>
      <w:r>
        <w:rPr>
          <w:rFonts w:asciiTheme="minorEastAsia" w:hAnsiTheme="minorEastAsia"/>
          <w:b/>
          <w:sz w:val="24"/>
          <w:szCs w:val="24"/>
        </w:rPr>
        <w:t>二、主体文件</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内江师范学院专业建设与本科人才培养“十三五”事业发展规划</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58</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2</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内江师范学院教学实验室建设“十三五”事业发展规划</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3</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内江师范学院关于进一步提高人才培养质量的实施意见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4</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内江师范学院教育教学改革研究项目管理办法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中共内江师范学院委员会 内江师范学院关于实施“三分式”人才培养改革的意见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6</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内江师范学院“三分式”人才培养改革实施方案（试行）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87</w:t>
      </w:r>
    </w:p>
    <w:p>
      <w:pPr>
        <w:spacing w:line="360" w:lineRule="auto"/>
        <w:jc w:val="left"/>
        <w:rPr>
          <w:rFonts w:asciiTheme="minorEastAsia" w:hAnsiTheme="minorEastAsia"/>
          <w:b/>
          <w:sz w:val="24"/>
          <w:szCs w:val="24"/>
        </w:rPr>
      </w:pPr>
      <w:r>
        <w:rPr>
          <w:rFonts w:asciiTheme="minorEastAsia" w:hAnsiTheme="minorEastAsia"/>
          <w:b/>
          <w:sz w:val="24"/>
          <w:szCs w:val="24"/>
        </w:rPr>
        <w:t>三、学籍管理</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内江师范学院学生学籍管理规定</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2</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内江师范学院学士学位授予工作实施细则（修订）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105</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3</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内江师范学院学生转学管理办法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4</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内江师范学院学生转专业管理办法（修订）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内江师范学院学生证管理条例（修订）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120</w:t>
      </w:r>
    </w:p>
    <w:p>
      <w:pPr>
        <w:spacing w:line="360" w:lineRule="auto"/>
        <w:jc w:val="left"/>
        <w:rPr>
          <w:rFonts w:asciiTheme="minorEastAsia" w:hAnsiTheme="minorEastAsia"/>
          <w:b/>
          <w:sz w:val="24"/>
          <w:szCs w:val="24"/>
        </w:rPr>
      </w:pPr>
      <w:r>
        <w:rPr>
          <w:rFonts w:asciiTheme="minorEastAsia" w:hAnsiTheme="minorEastAsia"/>
          <w:b/>
          <w:sz w:val="24"/>
          <w:szCs w:val="24"/>
        </w:rPr>
        <w:t>四、教务管理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内江师范学院教学工作规范（试行）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2</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内江师范学院授课计划进度的编制与管理规定（修订）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126</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3</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内江师范学院课程表管理规定（修订）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4</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内江师范学院学生选课管理办法（修订）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内江师范学院课程免修管理办法（修订）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6</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内江师范学院课程重修管理办法（修订）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7</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内江师范学院课程教案编写规范（修订）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8</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内江师范学院辅修专业管理办法（修订）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9</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内江师范学院关于调课、停课、代课和补课的有关规定（修订）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0.</w:t>
      </w:r>
      <w:r>
        <w:rPr>
          <w:rFonts w:hint="eastAsia"/>
        </w:rPr>
        <w:t xml:space="preserve"> </w:t>
      </w:r>
      <w:r>
        <w:rPr>
          <w:rFonts w:hint="eastAsia" w:asciiTheme="minorEastAsia" w:hAnsiTheme="minorEastAsia"/>
          <w:sz w:val="24"/>
          <w:szCs w:val="24"/>
        </w:rPr>
        <w:t>内江师范学院结业生返校重修管理办法（修订）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1.</w:t>
      </w:r>
      <w:r>
        <w:rPr>
          <w:rFonts w:hint="eastAsia"/>
        </w:rPr>
        <w:t xml:space="preserve"> </w:t>
      </w:r>
      <w:r>
        <w:rPr>
          <w:rFonts w:hint="eastAsia" w:asciiTheme="minorEastAsia" w:hAnsiTheme="minorEastAsia"/>
          <w:sz w:val="24"/>
          <w:szCs w:val="24"/>
        </w:rPr>
        <w:t>内江师范学院普通全日制本科生标准学制内提前毕业管理办法（修订）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2.</w:t>
      </w:r>
      <w:r>
        <w:rPr>
          <w:rFonts w:hint="eastAsia"/>
        </w:rPr>
        <w:t xml:space="preserve"> </w:t>
      </w:r>
      <w:r>
        <w:rPr>
          <w:rFonts w:hint="eastAsia" w:asciiTheme="minorEastAsia" w:hAnsiTheme="minorEastAsia"/>
          <w:sz w:val="24"/>
          <w:szCs w:val="24"/>
        </w:rPr>
        <w:t>内江师范学院国家学生体质健康标准实施办法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3.</w:t>
      </w:r>
      <w:r>
        <w:rPr>
          <w:rFonts w:hint="eastAsia"/>
        </w:rPr>
        <w:t xml:space="preserve"> </w:t>
      </w:r>
      <w:r>
        <w:rPr>
          <w:rFonts w:hint="eastAsia" w:asciiTheme="minorEastAsia" w:hAnsiTheme="minorEastAsia"/>
          <w:sz w:val="24"/>
          <w:szCs w:val="24"/>
        </w:rPr>
        <w:t>内江师范学院教室使用管理办法（修订）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154</w:t>
      </w:r>
    </w:p>
    <w:p>
      <w:pPr>
        <w:spacing w:line="360" w:lineRule="auto"/>
        <w:jc w:val="left"/>
        <w:rPr>
          <w:rFonts w:asciiTheme="minorEastAsia" w:hAnsiTheme="minorEastAsia"/>
          <w:b/>
          <w:sz w:val="24"/>
          <w:szCs w:val="24"/>
        </w:rPr>
      </w:pPr>
      <w:r>
        <w:rPr>
          <w:rFonts w:asciiTheme="minorEastAsia" w:hAnsiTheme="minorEastAsia"/>
          <w:b/>
          <w:sz w:val="24"/>
          <w:szCs w:val="24"/>
        </w:rPr>
        <w:t>五、实践教学管理</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内江师范学院本科毕业论文(设计、创作）管理办法(修订)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158</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asciiTheme="minorEastAsia" w:hAnsiTheme="minorEastAsia"/>
          <w:sz w:val="24"/>
          <w:szCs w:val="24"/>
        </w:rPr>
        <w:t>2.</w:t>
      </w:r>
      <w:r>
        <w:rPr>
          <w:rFonts w:hint="eastAsia"/>
        </w:rPr>
        <w:t xml:space="preserve"> </w:t>
      </w:r>
      <w:r>
        <w:rPr>
          <w:rFonts w:hint="eastAsia" w:asciiTheme="minorEastAsia" w:hAnsiTheme="minorEastAsia"/>
          <w:sz w:val="24"/>
          <w:szCs w:val="24"/>
        </w:rPr>
        <w:t>内江师范学院本科学位论文作假行为处理办法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176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3</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内江师范学院教育实践管理办法（试行）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178</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4</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内江师范学院专业实践管理办法（试行）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184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内江师范学院教师教育专业学生实习支教工作管理办法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189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6</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内江师范学院实践教学经费管理办法（修订）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192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7</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内江师范学院大学生学科竞赛管理办法（试行）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196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8</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内江师范学院大学生创新创业训练计划项目实施与管理办法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9</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内江师范学院关于深化创新创业教育改革的实施方案（试行）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0.</w:t>
      </w:r>
      <w:r>
        <w:rPr>
          <w:rFonts w:hint="eastAsia"/>
        </w:rPr>
        <w:t xml:space="preserve"> </w:t>
      </w:r>
      <w:r>
        <w:rPr>
          <w:rFonts w:hint="eastAsia" w:asciiTheme="minorEastAsia" w:hAnsiTheme="minorEastAsia"/>
          <w:sz w:val="24"/>
          <w:szCs w:val="24"/>
        </w:rPr>
        <w:t>内江师范学院学生创新学分实施办法（修订）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213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1.</w:t>
      </w:r>
      <w:r>
        <w:rPr>
          <w:rFonts w:hint="eastAsia"/>
        </w:rPr>
        <w:t xml:space="preserve"> </w:t>
      </w:r>
      <w:r>
        <w:rPr>
          <w:rFonts w:hint="eastAsia" w:asciiTheme="minorEastAsia" w:hAnsiTheme="minorEastAsia"/>
          <w:sz w:val="24"/>
          <w:szCs w:val="24"/>
        </w:rPr>
        <w:t>内江师范学院评聘基础教育兼职教师实施办法（试行）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217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2.</w:t>
      </w:r>
      <w:r>
        <w:rPr>
          <w:rFonts w:hint="eastAsia"/>
        </w:rPr>
        <w:t xml:space="preserve"> </w:t>
      </w:r>
      <w:r>
        <w:rPr>
          <w:rFonts w:hint="eastAsia" w:asciiTheme="minorEastAsia" w:hAnsiTheme="minorEastAsia"/>
          <w:sz w:val="24"/>
          <w:szCs w:val="24"/>
        </w:rPr>
        <w:t>内江师范学院实践教学基地建设管理办法（试行）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219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3.</w:t>
      </w:r>
      <w:r>
        <w:rPr>
          <w:rFonts w:hint="eastAsia"/>
        </w:rPr>
        <w:t xml:space="preserve"> </w:t>
      </w:r>
      <w:r>
        <w:rPr>
          <w:rFonts w:hint="eastAsia" w:asciiTheme="minorEastAsia" w:hAnsiTheme="minorEastAsia"/>
          <w:sz w:val="24"/>
          <w:szCs w:val="24"/>
        </w:rPr>
        <w:t>内江师范学院实验室建设与管理暂行办法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231</w:t>
      </w:r>
    </w:p>
    <w:p>
      <w:pPr>
        <w:spacing w:line="360" w:lineRule="auto"/>
        <w:jc w:val="left"/>
        <w:rPr>
          <w:rFonts w:asciiTheme="minorEastAsia" w:hAnsiTheme="minorEastAsia"/>
          <w:b/>
          <w:sz w:val="24"/>
          <w:szCs w:val="24"/>
        </w:rPr>
      </w:pPr>
      <w:r>
        <w:rPr>
          <w:rFonts w:asciiTheme="minorEastAsia" w:hAnsiTheme="minorEastAsia"/>
          <w:b/>
          <w:sz w:val="24"/>
          <w:szCs w:val="24"/>
        </w:rPr>
        <w:t>六、考务管理</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 内江师范学院课程考核管理办法（修订）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237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2. 内江师范学院学生考试违规处理办法（修订）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241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3. 内江师范学院学生缓考规定</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245</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4. 内江师范学院等级考试规定和等级证书成绩认定办法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247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5. 内江师范学院计算机辅助普通话水平测试管理办法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250</w:t>
      </w:r>
    </w:p>
    <w:p>
      <w:pPr>
        <w:spacing w:line="360" w:lineRule="auto"/>
        <w:jc w:val="left"/>
        <w:rPr>
          <w:rFonts w:asciiTheme="minorEastAsia" w:hAnsiTheme="minorEastAsia"/>
          <w:b/>
          <w:sz w:val="24"/>
          <w:szCs w:val="24"/>
        </w:rPr>
      </w:pPr>
      <w:r>
        <w:rPr>
          <w:rFonts w:asciiTheme="minorEastAsia" w:hAnsiTheme="minorEastAsia"/>
          <w:b/>
          <w:sz w:val="24"/>
          <w:szCs w:val="24"/>
        </w:rPr>
        <w:t>七、教师工作管理</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 内江师范学院关于教授、副教授为本科生上课的规定</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253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2. 内江师范学院教学团队建设管理办法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254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3. 内江师范学院教师教学质量考核实施办法（试行）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257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4. 内江师范学院教育教学质量综合考核实施办法（试行）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260</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5. 内江师范学院教学奖励办法（试行）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264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6. 内江师范学院教学优秀奖评选办法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268</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7. 内江师范学院“教学名师”评选奖励办法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272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8. 内江师范学院“教学能手”评选办法（修订）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274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9. 内江师范学院讲课比赛管理办法（修订）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276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10. 内江师范学院教学研究室工作条例（修订）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277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11. 内江师范学院教师教学发展实施办法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280</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12. 内江师范学院教师教学发展中心管理办法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284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13. 内江师范学院关于聘请退休教师担任本科生课程教学工作的暂行规定</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286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14. 内江师范学院选派教师教育专业教师到中学挂职锻炼实施办法（试行）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289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15. 内江师范学院</w:t>
      </w:r>
      <w:r>
        <w:rPr>
          <w:rFonts w:hint="eastAsia" w:asciiTheme="minorEastAsia" w:hAnsiTheme="minorEastAsia"/>
          <w:sz w:val="24"/>
          <w:szCs w:val="24"/>
          <w:lang w:eastAsia="zh-CN"/>
        </w:rPr>
        <w:t>本科生学业</w:t>
      </w:r>
      <w:r>
        <w:rPr>
          <w:rFonts w:hint="eastAsia" w:asciiTheme="minorEastAsia" w:hAnsiTheme="minorEastAsia"/>
          <w:sz w:val="24"/>
          <w:szCs w:val="24"/>
        </w:rPr>
        <w:t>导师制实施办法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292</w:t>
      </w:r>
    </w:p>
    <w:p>
      <w:pPr>
        <w:spacing w:line="360" w:lineRule="auto"/>
        <w:jc w:val="left"/>
        <w:rPr>
          <w:rFonts w:asciiTheme="minorEastAsia" w:hAnsiTheme="minorEastAsia"/>
          <w:b/>
          <w:sz w:val="24"/>
          <w:szCs w:val="24"/>
        </w:rPr>
      </w:pPr>
      <w:r>
        <w:rPr>
          <w:rFonts w:asciiTheme="minorEastAsia" w:hAnsiTheme="minorEastAsia"/>
          <w:b/>
          <w:sz w:val="24"/>
          <w:szCs w:val="24"/>
        </w:rPr>
        <w:t>八、教学质量管理与评价</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1. 内江师范学院干部听课制度（修订）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294</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2. 内江师范学院教学指导委员会章程</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3. 内江师范学院学生信息员工作管理办法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hint="eastAsia" w:asciiTheme="minorEastAsia" w:hAnsiTheme="minorEastAsia"/>
          <w:sz w:val="24"/>
          <w:szCs w:val="24"/>
          <w:lang w:val="en-US"/>
        </w:rPr>
      </w:pPr>
      <w:r>
        <w:rPr>
          <w:rFonts w:hint="eastAsia" w:asciiTheme="minorEastAsia" w:hAnsiTheme="minorEastAsia"/>
          <w:sz w:val="24"/>
          <w:szCs w:val="24"/>
        </w:rPr>
        <w:t>4. 内江师范学院教学责任事故认定与处理办法（修订）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304</w:t>
      </w:r>
    </w:p>
    <w:p>
      <w:pPr>
        <w:spacing w:line="360" w:lineRule="auto"/>
        <w:jc w:val="left"/>
        <w:rPr>
          <w:rFonts w:asciiTheme="minorEastAsia" w:hAnsiTheme="minorEastAsia"/>
          <w:b/>
          <w:sz w:val="24"/>
          <w:szCs w:val="24"/>
        </w:rPr>
      </w:pPr>
      <w:r>
        <w:rPr>
          <w:rFonts w:asciiTheme="minorEastAsia" w:hAnsiTheme="minorEastAsia"/>
          <w:b/>
          <w:sz w:val="24"/>
          <w:szCs w:val="24"/>
        </w:rPr>
        <w:t>九、教学建设与研究</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1</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内江师范学院本科专业建设管理办法（修订）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309</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2</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内江师范学院课程建设管理办法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313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3</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内江师范学院教材建设管理办法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317</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4</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内江师范学院双语教学课程建设管理办法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321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5</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内江师范学院关于加强通识教育选修课管理办法（修订）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323</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6</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内江师范学院关于建设优质通识教育选修课的通知</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328</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9"/>
        <w:rPr>
          <w:rFonts w:asciiTheme="minorEastAsia" w:hAnsiTheme="minorEastAsia"/>
          <w:sz w:val="24"/>
          <w:szCs w:val="24"/>
          <w:lang w:val="en-US"/>
        </w:rPr>
      </w:pPr>
      <w:r>
        <w:rPr>
          <w:rFonts w:hint="eastAsia" w:asciiTheme="minorEastAsia" w:hAnsiTheme="minorEastAsia"/>
          <w:sz w:val="24"/>
          <w:szCs w:val="24"/>
        </w:rPr>
        <w:t>7</w:t>
      </w:r>
      <w:r>
        <w:rPr>
          <w:rFonts w:asciiTheme="minorEastAsia" w:hAnsiTheme="minorEastAsia"/>
          <w:sz w:val="24"/>
          <w:szCs w:val="24"/>
        </w:rPr>
        <w:t>.</w:t>
      </w:r>
      <w:r>
        <w:rPr>
          <w:rFonts w:hint="eastAsia"/>
        </w:rPr>
        <w:t xml:space="preserve"> </w:t>
      </w:r>
      <w:r>
        <w:rPr>
          <w:rFonts w:hint="eastAsia" w:asciiTheme="minorEastAsia" w:hAnsiTheme="minorEastAsia"/>
          <w:sz w:val="24"/>
          <w:szCs w:val="24"/>
        </w:rPr>
        <w:t>内江师范学院教学成果奖评审办法（修订）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330</w:t>
      </w:r>
    </w:p>
    <w:p>
      <w:pPr>
        <w:pStyle w:val="10"/>
        <w:shd w:val="clear" w:color="auto" w:fill="FFFFFF"/>
        <w:spacing w:before="0" w:beforeAutospacing="0" w:after="0" w:afterAutospacing="0" w:line="560" w:lineRule="exact"/>
        <w:jc w:val="center"/>
        <w:rPr>
          <w:rFonts w:hint="eastAsia"/>
          <w:b/>
          <w:bCs/>
          <w:color w:val="333333"/>
          <w:sz w:val="32"/>
          <w:szCs w:val="32"/>
        </w:rPr>
      </w:pPr>
      <w:r>
        <w:rPr>
          <w:rFonts w:hint="eastAsia"/>
          <w:b/>
          <w:bCs/>
          <w:color w:val="333333"/>
          <w:sz w:val="32"/>
          <w:szCs w:val="32"/>
        </w:rPr>
        <w:br w:type="page"/>
      </w:r>
    </w:p>
    <w:p>
      <w:pPr>
        <w:pStyle w:val="10"/>
        <w:shd w:val="clear" w:color="auto" w:fill="FFFFFF"/>
        <w:spacing w:before="0" w:beforeAutospacing="0" w:after="0" w:afterAutospacing="0" w:line="560" w:lineRule="exact"/>
        <w:jc w:val="center"/>
        <w:rPr>
          <w:rFonts w:hint="eastAsia"/>
          <w:b/>
          <w:bCs/>
          <w:color w:val="333333"/>
          <w:sz w:val="32"/>
          <w:szCs w:val="32"/>
        </w:rPr>
        <w:sectPr>
          <w:headerReference r:id="rId3" w:type="default"/>
          <w:footerReference r:id="rId5" w:type="default"/>
          <w:headerReference r:id="rId4" w:type="even"/>
          <w:footerReference r:id="rId6" w:type="even"/>
          <w:pgSz w:w="11906" w:h="16838"/>
          <w:pgMar w:top="1417" w:right="1134" w:bottom="1134" w:left="1417" w:header="851" w:footer="992" w:gutter="0"/>
          <w:cols w:space="0" w:num="1"/>
          <w:docGrid w:type="lines" w:linePitch="312" w:charSpace="0"/>
        </w:sectPr>
      </w:pPr>
    </w:p>
    <w:p>
      <w:pPr>
        <w:pStyle w:val="10"/>
        <w:shd w:val="clear" w:color="auto" w:fill="FFFFFF"/>
        <w:spacing w:before="0" w:beforeAutospacing="0" w:after="0" w:afterAutospacing="0" w:line="560" w:lineRule="exact"/>
        <w:jc w:val="center"/>
        <w:rPr>
          <w:rFonts w:asciiTheme="minorEastAsia" w:hAnsiTheme="minorEastAsia" w:eastAsiaTheme="minorEastAsia"/>
          <w:color w:val="333333"/>
        </w:rPr>
      </w:pPr>
      <w:r>
        <w:rPr>
          <w:rFonts w:hint="eastAsia"/>
          <w:b/>
          <w:bCs/>
          <w:color w:val="333333"/>
          <w:sz w:val="32"/>
          <w:szCs w:val="32"/>
        </w:rPr>
        <w:t>中华人民共和国高等教育法</w:t>
      </w:r>
      <w:r>
        <w:rPr>
          <w:rFonts w:hint="eastAsia"/>
          <w:color w:val="333333"/>
          <w:sz w:val="32"/>
          <w:szCs w:val="32"/>
        </w:rPr>
        <w:br w:type="textWrapping"/>
      </w:r>
    </w:p>
    <w:p>
      <w:pPr>
        <w:pStyle w:val="1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（1998年8月29日第九届全国人民代表大会常务委员会第四次会议通过  根据2015年12月27日第十二届全国人民代表大会常务委员会第十八次会议《关于修改〈中华人民共和国高等教育法〉的决定》修正）</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目录</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第一章  总则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第二章  高等教育基本制度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第三章  高等学校的设立</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第四章  高等学校的组织和活动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第五章  高等学校教师和其他教育工作者</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第六章  高等学校的学生</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第七章  高等教育投入和条件保障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第八章  附则</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第一章  总则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第一条  为了发展高等教育事业，实施科教兴国战略，促进社会主义物质文明和精神文明建设，根据宪法和教育法，制定本法。</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第二条  在中华人民共和国境内从事高等教育活动，适用本法。</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本法所称高等教育，是指在完成高级中等教育基础上实施的教育。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第三条  国家坚持以马克思列宁主义、毛泽东思想、邓小平理论为指导，遵循宪法确定的基本原则，发展社会主义的高等教育事业。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第四条  高等教育必须贯彻国家的教育方针，为社会主义现代化建设服务、为人民服务，与生产劳动和社会实践相结合，使受教育者成为德、智、体、美等方面全面发展的社会主义建设者和接班人。</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第五条  高等教育的任务是培养具有社会责任感、创新精神和实践能力的高级专门人才，发展科学技术文化，促进社会主义现代化建设。</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第六条  国家根据经济建设和社会发展的需要，制定高等教育发展规划，举办高等学校，并采取多种形式积极发展高等教育事业。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国家鼓励企业事业组织、社会团体及其他社会组织和公民等社会力量依法举办高等学校，参与和支持高等教育事业的改革和发展。</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第八条  国家根据少数民族的特点和需要，帮助和支持少数民族地区发展高等教育事业，为少数民族培养高级专门人才。</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第九条  公民依法享有接受高等教育的权利。</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国家采取措施，帮助少数民族学生和经济困难的学生接受高等教育。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高等学校必须招收符合国家规定的录取标准的残疾学生入学，不得因其残疾而拒绝招收。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第十条  国家依法保障高等学校中的科学研究，文学艺术创作和其他文化活动的自由。</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在高等学校中从事科学研究、文学艺术创作和其他文化活动，应当遵守法律。</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第十一条  高等学校应当面向社会，依法自主办学，实行民主管理。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第十二条  国家鼓励高等学校之间、高等学校与科学研究机构以及企业事业组织之间开展协作，实行优势互补，提高教育资源的使用效益。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国家鼓励和支持高等教育事业的国际交流与合作。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第十三条  国务院统一领导和管理全国高等教育事业。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省、自治区、直辖市人民政府统筹协调本行政区域内的高等教育事业，管理主要为地方培养人才和国务院授权管理的高等学校。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第十四条  国务院教育行政部门主管全国高等教育工作，管理由国务院确定的主要为全国培养人才的高等学校。国务院其他有关部门在国务院规定的职责范围内，负责有关的高等教育工作。</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第二章  高等教育基本制度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第十五条  高等教育包括学历教育和非学历教育。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高等教育采用全日制和非全日制教育形式。</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国家支持采用广播、电视、函授及其他远程教育方式实施高等教育。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第十六条  高等学历教育分为专科教育、本科教育和研究生教育。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高等学历教育应当符合下列学业标准：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（一）专科教育应当使学生掌握本专业必备的基础理论、专门知识，具有从事本专业实际工作的基本技能和初步能力；</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（二）本科教育应当使学生比较系统地掌握本学科、专业必需的基础理论、基本知识，掌握本专业必要的基本技能、方法和相关知识，具有从事本专业实际工作和研究工作的初步能力；</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第十八条  高等教育由高等学校和其他高等教育机构实施。</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大学、独立设置的学院主要实施本科及本科以上教育。高等专科学校实施专科教育。经国务院教育行政部门批准，科学研究机构可以承担研究生教育的任务。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其他高等教育机构实施非学历高等教育。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第十九条  高级中等教育毕业或者具有同等学力的，经考试合格，由实施相应学历教育的高等学校录取，取得专科生或者本科生入学资格。</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本科毕业或者具有同等学力的，经考试合格，由实施相应学历教育的高等学校或者经批准承担研究生教育任务的科学研究机构录取，取得硕士研究生入学资格。</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硕士研究生毕业或者具有同等学力的，经考试合格，由实施相应学历教育的高等学校或者经批准承担研究生教育任务的科学研究机构录取，取得博士研究生入学资格。</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允许特定学科和专业的本科毕业生直接取得博士研究生入学资格，具体办法由国务院教育行政部门规定。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第二十条  接受高等学历教育的学生，由所在高等学校或者经批准承担研究生教育任务的科学研究机构根据其修业年限、学业成绩等，按照国家有关规定，发给相应的学历证书或者其他学业证书。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接受非学历高等教育的学生，由所在高等学校或者其他高等教育机构发给相应的结业证书。结业证书应当载明修业年限和学业内容。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第二十一条  国家实行高等教育自学考试制度，经考试合格的，发给相应的学历证书或者其他学业证书。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第二十二条  国家实行学位制度。学位分为学士、硕士和博士。</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公民通过接受高等教育或者自学，其学业水平达到国家规定的学位标准，可以向学位授予单位申请授予相应的学位。</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第二十三条  高等学校和其他高等教育机构应当根据社会需要和自身办学条件，承担实施继续教育的工作。</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第三章  高等学校的设立</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第二十四条  设立高等学校，应当符合国家高等教育发展规划，符合国家利益和社会公共利益。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第二十五条  设立高等学校，应当具备教育法规定的基本条件。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设立其他高等教育机构的具体标准，由国务院授权的有关部门或者省、自治区、直辖市人民政府根据国务院规定的原则制定。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第二十六条  设立高等学校，应当根据其层次、类型、所设学科类别、规模、教学和科学研究水平，使用相应的名称。</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第二十七条  申请设立高等学校的，应当向审批机关提交下列材料：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（一）申办报告；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（二）可行性论证材料；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（三）章程；</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（四）审批机关依照本法规定要求提供的其他材料。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第二十八条  高等学校的章程应当规定以下事项：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（一）学校名称、校址；</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（二）办学宗旨；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（三）办学规模；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（四）学科门类的设置；</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（五）教育形式；</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（六）内部管理体制；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（七）经费来源、财产和财务制度；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（八）举办者与学校之间的权利、义务；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（九）章程修改程序；</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（十）其他必须由章程规定的事项。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审批设立高等学校，应当委托由专家组成的评议机构评议。</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第四章  高等学校的组织和活动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第三十条  高等学校自批准设立之日起取得法人资格。高等学校的校长为高等学校的法定代表人。</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高等学校在民事活动中依法享有民事权利，承担民事责任。</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第三十一条  高等学校应当以培养人才为中心，开展教学、科学研究和社会服务，保证教育教学质量达到国家规定的标准。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第三十二条  高等学校根据社会需求、办学条件和国家核定的办学规模，制定招生方案，自主调节系科招生比例。</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第三十三条  高等学校依法自主设置和调整学科、专业。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第三十四条  高等学校根据教学需要，自主制定教学计划、选编教材、组织实施教学活动。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第三十五条  高等学校根据自身条件，自主开展科学研究、技术开发和社会服务。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国家鼓励高等学校同企业事业组织、社会团体及其他社会组织在科学研究、技术开发和推广等方面进行多种形式的合作。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国家支持具备条件的高等学校成为国家科学研究基地。</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第三十六条  高等学校按照国家有关规定，自主开展与境外高等学校之间的科学技术文化交流与合作。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第三十七条  高等学校根据实际需要和精简、效能的原则，自主确定教学、科学研究、行政职能部门等内部组织机构的设置和人员配备；按照国家有关规定，评聘教师和其他专业技术人员的职务，调整津贴及工资分配。</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第三十八条  高等学校对举办者提供的财产、国家财政性资助、受捐赠财产依法自主管理和使用。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高等学校不得将用于教学和科学研究活动的财产挪作他用。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社会力量举办的高等学校的内部管理体制按照国家有关社会力量办学的规定确定。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第四十条  高等学校的校长，由符合教育法规定的任职条件的公民担任。高等学校的校长、副校长按照国家有关规定任免。</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第四十一条  高等学校的校长全面负责本学校的教学、科学研究和其他行政管理工作，行使下列职权：</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（一）拟订发展规划，制定具体规章制度和年度工作计划并组织实施；</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（二）组织教学活动、科学研究和思想品德教育；</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（三）拟订内部组织机构的设置方案，推荐副校长人选，任免内部组织机构的负责人；</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（四）聘任与解聘教师以及内部其他工作人员，对学生进行学籍管理并实施奖励或者处分；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（五）拟订和执行年度经费预算方案，保护和管理校产，维护学校的合法权益；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（六）章程规定的其他职权。</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高等学校的校长主持校长办公会议或者校务会议，处理前款规定的有关事项。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第四十二条  高等学校设立学术委员会，履行下列职责：</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（一）审议学科建设、专业设置，教学、科学研究计划方案；</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（二）评定教学、科学研究成果；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（三）调查、处理学术纠纷；</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（四）调查、认定学术不端行为；</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（五）按照章程审议、决定有关学术发展、学术评价、学术规范的其他事项。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第四十三条  高等学校通过以教师为主体的教职工代表大会等组织形式，依法保障教职工参与民主管理和监督，维护教职工合法权益。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第四十四条  高等学校应当建立本学校办学水平、教育质量的评价制度，及时公开相关信息，接受社会监督。</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教育行政部门负责组织专家或者委托第三方专业机构对高等学校的办学水平、效益和教育质量进行评估。评估结果应当向社会公开。</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第五章  高等学校教师和其他教育工作者</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第四十五条  高等学校的教师及其他教育工作者享有法律规定的权利，履行法律规定的义务，忠诚于人民的教育事业。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第四十七条  高等学校实行教师职务制度。高等学校教师职务根据学校所承担的教学、科学研究等任务的需要设置。教师职务设助教、讲师、副教授、教授。</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高等学校的教师取得前款规定的职务应当具备下列基本条件：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（一）取得高等学校教师资格；</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（二）系统地掌握本学科的基础理论；</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（三）具备相应职务的教育教学能力和科学研究能力；</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（四）承担相应职务的课程和规定课时的教学任务。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高等学校教师职务的具体任职条件由国务院规定。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第四十八条  高等学校实行教师聘任制。教师经评定具备任职条件的，由高等学校按照教师职务的职责、条件和任期聘任。</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高等学校的教师的聘任，应当遵循双方平等自愿的原则，由高等学校校长与受聘教师签订聘任合同。</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第四十九条  高等学校的管理人员，实行教育职员制度。高等学校的教学辅助人员及其他专业技术人员，实行专业技术职务聘任制度。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第五十条  国家保护高等学校教师及其他教育工作者的合法权益，采取措施改善高等学校教师及其他教育工作者的工作条件和生活条件。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第五十一条  高等学校应当为教师参加培训、开展科学研究和进行学术交流提供便利条件。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高等学校应当对教师、管理人员和教学辅助人员及其他专业技术人员的思想政治表现、职业道德、业务水平和工作实绩进行考核，考核结果作为聘任或者解聘、晋升、奖励或者处分的依据。</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第五十二条  高等学校的教师、管理人员和教学辅助人员及其他专业技术人员，应当以教学和培养人才为中心做好本职工作。</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第六章  高等学校的学生</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高等学校学生的合法权益，受法律保护。</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第五十四条  高等学校的学生应当按照国家规定缴纳学费。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家庭经济困难的学生，可以申请补助或者减免学费。</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国家设立高等学校学生勤工助学基金和贷学金，并鼓励高等学校、企业事业组织、社会团体以及其他社会组织和个人设立各种形式的助学金，对家庭经济困难的学生提供帮助。</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获得贷学金及助学金的学生，应当履行相应的义务。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第五十六条  高等学校的学生在课余时间可以参加社会服务和勤工助学活动，但不得影响学业任务的完成。</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高等学校应当对学生的社会服务和勤工助学活动给予鼓励和支持，并进行引导和管理。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第五十七条  高等学校的学生，可以在校内组织学生团体。学生团体在法律、法规规定的范围内活动，服从学校的领导和管理。</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第五十八条  高等学校的学生思想品德合格，在规定的修业年限内学完规定的课程，成绩合格或者修满相应的学分，准予毕业。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第五十九条  高等学校应当为毕业生、结业生提供就业指导和服务。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国家鼓励高等学校毕业生到边远、艰苦地区工作。</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第七章  高等教育投入和条件保障</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第六十条  高等教育实行以举办者投入为主、受教育者合理分担培养成本、高等学校多种渠道筹措经费的机制。</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国务院和省、自治区、直辖市人民政府依照教育法第五十六条的规定，保证国家举办的高等教育的经费逐步增长。</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国家鼓励企业事业组织、社会团体及其他社会组织和个人向高等教育投入。</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第六十一条  高等学校的举办者应当保证稳定的办学经费来源，不得抽回其投入的办学资金。</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第六十三条  国家对高等学校进口图书资料、教学科研设备以及校办产业实行优惠政策。高等学校所办产业或者转让知识产权以及其他科学技术成果获得的收益，用于高等学校办学。</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第六十四条  高等学校收取的学费应当按照国家有关规定管理和使用，其他任何组织和个人不得挪用。</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第六十五条  高等学校应当依法建立、健全财务管理制度，合理使用、严格管理教育经费，提高教育投资效益。</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高等学校的财务活动应当依法接受监督。</w:t>
      </w:r>
    </w:p>
    <w:p>
      <w:pPr>
        <w:pStyle w:val="10"/>
        <w:shd w:val="clear" w:color="auto" w:fill="FFFFFF"/>
        <w:spacing w:before="0" w:beforeAutospacing="0" w:after="0" w:afterAutospacing="0" w:line="360" w:lineRule="auto"/>
        <w:ind w:firstLine="482"/>
        <w:rPr>
          <w:rFonts w:asciiTheme="minorEastAsia" w:hAnsiTheme="minorEastAsia" w:eastAsiaTheme="minorEastAsia"/>
          <w:b/>
          <w:color w:val="333333"/>
        </w:rPr>
      </w:pPr>
      <w:r>
        <w:rPr>
          <w:rFonts w:hint="eastAsia" w:asciiTheme="minorEastAsia" w:hAnsiTheme="minorEastAsia" w:eastAsiaTheme="minorEastAsia"/>
          <w:b/>
          <w:color w:val="333333"/>
        </w:rPr>
        <w:t>第八章  附则</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第六十六条  对高等教育活动中违反教育法规定的，依照教育法的有关规定给予处罚。</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第六十七条  中国境外个人符合国家规定的条件并办理有关手续后，可以进入中国境内高等学校学习、研究、进行学术交流或者任教，其合法权益受国家保护。</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第六十八条  本法所称高等学校是指大学、独立设置的学院和高等专科学校，其中包括高等职业学校和成人高等学校。</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本法所称其他高等教育机构是指除高等学校和经批准承担研究生教育任务的科学研究机构以外的从事高等教育活动的组织。</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本法有关高等学校的规定适用于其他高等教育机构和经批准承担研究生教育任务的科学研究机构，但是对高等学校专门适用的规定除外。</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t>第六十九条  本法自1999年1月1日起施行。</w:t>
      </w: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r>
        <w:rPr>
          <w:rFonts w:hint="eastAsia" w:asciiTheme="minorEastAsia" w:hAnsiTheme="minorEastAsia" w:eastAsiaTheme="minorEastAsia"/>
          <w:color w:val="333333"/>
        </w:rPr>
        <w:br w:type="page"/>
      </w:r>
    </w:p>
    <w:p>
      <w:pPr>
        <w:spacing w:line="560" w:lineRule="exact"/>
        <w:jc w:val="center"/>
        <w:rPr>
          <w:b/>
          <w:sz w:val="32"/>
          <w:szCs w:val="32"/>
        </w:rPr>
      </w:pPr>
      <w:r>
        <w:rPr>
          <w:b/>
          <w:sz w:val="32"/>
          <w:szCs w:val="32"/>
        </w:rPr>
        <w:t xml:space="preserve">教育部 </w:t>
      </w:r>
      <w:r>
        <w:fldChar w:fldCharType="begin"/>
      </w:r>
      <w:r>
        <w:instrText xml:space="preserve"> HYPERLINK "http://baike.baidu.com/view/61891.htm" \t "_blank" </w:instrText>
      </w:r>
      <w:r>
        <w:fldChar w:fldCharType="separate"/>
      </w:r>
      <w:r>
        <w:rPr>
          <w:rStyle w:val="14"/>
          <w:b/>
          <w:color w:val="auto"/>
          <w:sz w:val="32"/>
          <w:szCs w:val="32"/>
          <w:u w:val="none"/>
        </w:rPr>
        <w:t>中国</w:t>
      </w:r>
      <w:r>
        <w:rPr>
          <w:rStyle w:val="14"/>
          <w:b/>
          <w:color w:val="auto"/>
          <w:sz w:val="32"/>
          <w:szCs w:val="32"/>
          <w:u w:val="none"/>
        </w:rPr>
        <w:fldChar w:fldCharType="end"/>
      </w:r>
      <w:r>
        <w:rPr>
          <w:b/>
          <w:sz w:val="32"/>
          <w:szCs w:val="32"/>
        </w:rPr>
        <w:t>教科文卫体工会全国委员会</w:t>
      </w:r>
    </w:p>
    <w:p>
      <w:pPr>
        <w:spacing w:line="560" w:lineRule="exact"/>
        <w:jc w:val="center"/>
        <w:rPr>
          <w:b/>
          <w:sz w:val="32"/>
          <w:szCs w:val="32"/>
        </w:rPr>
      </w:pPr>
      <w:r>
        <w:rPr>
          <w:b/>
          <w:sz w:val="32"/>
          <w:szCs w:val="32"/>
        </w:rPr>
        <w:t>关于印发《高等学校教师职业道德规范》的通知</w:t>
      </w:r>
    </w:p>
    <w:p>
      <w:pPr>
        <w:spacing w:line="560" w:lineRule="exact"/>
        <w:jc w:val="center"/>
        <w:rPr>
          <w:b/>
          <w:sz w:val="28"/>
          <w:szCs w:val="28"/>
        </w:rPr>
      </w:pPr>
      <w:r>
        <w:rPr>
          <w:b/>
          <w:sz w:val="28"/>
          <w:szCs w:val="28"/>
        </w:rPr>
        <w:t>教人〔2011〕11号</w:t>
      </w:r>
    </w:p>
    <w:p>
      <w:pPr>
        <w:spacing w:line="560" w:lineRule="exact"/>
        <w:jc w:val="center"/>
        <w:rPr>
          <w:b/>
          <w:sz w:val="30"/>
          <w:szCs w:val="30"/>
        </w:rPr>
      </w:pPr>
    </w:p>
    <w:p>
      <w:pPr>
        <w:spacing w:line="360" w:lineRule="auto"/>
        <w:rPr>
          <w:b/>
          <w:sz w:val="24"/>
        </w:rPr>
      </w:pPr>
      <w:r>
        <w:rPr>
          <w:b/>
          <w:sz w:val="24"/>
        </w:rPr>
        <w:t>各省、</w:t>
      </w:r>
      <w:r>
        <w:fldChar w:fldCharType="begin"/>
      </w:r>
      <w:r>
        <w:instrText xml:space="preserve"> HYPERLINK "http://baike.baidu.com/view/54334.htm" \t "_blank" </w:instrText>
      </w:r>
      <w:r>
        <w:fldChar w:fldCharType="separate"/>
      </w:r>
      <w:r>
        <w:rPr>
          <w:rStyle w:val="14"/>
          <w:b/>
          <w:color w:val="auto"/>
          <w:sz w:val="24"/>
          <w:u w:val="none"/>
        </w:rPr>
        <w:t>自治区</w:t>
      </w:r>
      <w:r>
        <w:rPr>
          <w:rStyle w:val="14"/>
          <w:b/>
          <w:color w:val="auto"/>
          <w:sz w:val="24"/>
          <w:u w:val="none"/>
        </w:rPr>
        <w:fldChar w:fldCharType="end"/>
      </w:r>
      <w:r>
        <w:rPr>
          <w:b/>
          <w:sz w:val="24"/>
        </w:rPr>
        <w:t>、</w:t>
      </w:r>
      <w:r>
        <w:fldChar w:fldCharType="begin"/>
      </w:r>
      <w:r>
        <w:instrText xml:space="preserve"> HYPERLINK "http://baike.baidu.com/view/39377.htm" \t "_blank" </w:instrText>
      </w:r>
      <w:r>
        <w:fldChar w:fldCharType="separate"/>
      </w:r>
      <w:r>
        <w:rPr>
          <w:rStyle w:val="14"/>
          <w:b/>
          <w:color w:val="auto"/>
          <w:sz w:val="24"/>
          <w:u w:val="none"/>
        </w:rPr>
        <w:t>直辖市</w:t>
      </w:r>
      <w:r>
        <w:rPr>
          <w:rStyle w:val="14"/>
          <w:b/>
          <w:color w:val="auto"/>
          <w:sz w:val="24"/>
          <w:u w:val="none"/>
        </w:rPr>
        <w:fldChar w:fldCharType="end"/>
      </w:r>
      <w:r>
        <w:rPr>
          <w:b/>
          <w:sz w:val="24"/>
        </w:rPr>
        <w:t>教育厅（教委）、教科文卫体（教育）工会，</w:t>
      </w:r>
      <w:r>
        <w:fldChar w:fldCharType="begin"/>
      </w:r>
      <w:r>
        <w:instrText xml:space="preserve"> HYPERLINK "http://baike.baidu.com/view/38528.htm" \t "_blank" </w:instrText>
      </w:r>
      <w:r>
        <w:fldChar w:fldCharType="separate"/>
      </w:r>
      <w:r>
        <w:rPr>
          <w:rStyle w:val="14"/>
          <w:b/>
          <w:color w:val="auto"/>
          <w:sz w:val="24"/>
          <w:u w:val="none"/>
        </w:rPr>
        <w:t>新疆生产建设兵团</w:t>
      </w:r>
      <w:r>
        <w:rPr>
          <w:rStyle w:val="14"/>
          <w:b/>
          <w:color w:val="auto"/>
          <w:sz w:val="24"/>
          <w:u w:val="none"/>
        </w:rPr>
        <w:fldChar w:fldCharType="end"/>
      </w:r>
      <w:r>
        <w:fldChar w:fldCharType="begin"/>
      </w:r>
      <w:r>
        <w:instrText xml:space="preserve"> HYPERLINK "http://baike.baidu.com/view/415109.htm" \t "_blank" </w:instrText>
      </w:r>
      <w:r>
        <w:fldChar w:fldCharType="separate"/>
      </w:r>
      <w:r>
        <w:rPr>
          <w:rStyle w:val="14"/>
          <w:b/>
          <w:color w:val="auto"/>
          <w:sz w:val="24"/>
          <w:u w:val="none"/>
        </w:rPr>
        <w:t>教育局</w:t>
      </w:r>
      <w:r>
        <w:rPr>
          <w:rStyle w:val="14"/>
          <w:b/>
          <w:color w:val="auto"/>
          <w:sz w:val="24"/>
          <w:u w:val="none"/>
        </w:rPr>
        <w:fldChar w:fldCharType="end"/>
      </w:r>
      <w:r>
        <w:rPr>
          <w:b/>
          <w:sz w:val="24"/>
        </w:rPr>
        <w:t>、教育工会，有关部门（单位）教育司（局），教育部直属各高等学校：</w:t>
      </w:r>
    </w:p>
    <w:p>
      <w:pPr>
        <w:spacing w:line="360" w:lineRule="auto"/>
        <w:ind w:firstLine="480" w:firstLineChars="200"/>
        <w:rPr>
          <w:sz w:val="24"/>
        </w:rPr>
      </w:pPr>
      <w:r>
        <w:rPr>
          <w:sz w:val="24"/>
        </w:rPr>
        <w:t>为贯彻落实党的十七届六中全会精神，全面提高高校师德水平，教育部、中国教科文卫体工会全国委员会研究制定了《高等学校教师职业道德规范》（以下简称《规范》），现印发给你们，请结合实际认真贯彻执行。</w:t>
      </w:r>
    </w:p>
    <w:p>
      <w:pPr>
        <w:spacing w:line="360" w:lineRule="auto"/>
        <w:ind w:firstLine="480" w:firstLineChars="200"/>
        <w:rPr>
          <w:sz w:val="24"/>
        </w:rPr>
      </w:pPr>
      <w:r>
        <w:rPr>
          <w:sz w:val="24"/>
        </w:rPr>
        <w:t>教育规划纲要明确提出，要加强教师职业理想和职业道德建设，增强广大教师教书育人的责任感和使命感。制定并实施《规范》，对于加强和改进高校师德建设，引导广大教师自觉践行</w:t>
      </w:r>
      <w:r>
        <w:rPr>
          <w:sz w:val="24"/>
        </w:rPr>
        <w:fldChar w:fldCharType="begin"/>
      </w:r>
      <w:r>
        <w:rPr>
          <w:sz w:val="24"/>
        </w:rPr>
        <w:instrText xml:space="preserve"> HYPERLINK "http://baike.baidu.com/view/1033303.htm" \t "_blank" </w:instrText>
      </w:r>
      <w:r>
        <w:rPr>
          <w:sz w:val="24"/>
        </w:rPr>
        <w:fldChar w:fldCharType="separate"/>
      </w:r>
      <w:r>
        <w:rPr>
          <w:rStyle w:val="14"/>
          <w:color w:val="auto"/>
          <w:sz w:val="24"/>
          <w:u w:val="none"/>
        </w:rPr>
        <w:t>社会主义核心价值体系</w:t>
      </w:r>
      <w:r>
        <w:rPr>
          <w:sz w:val="24"/>
        </w:rPr>
        <w:fldChar w:fldCharType="end"/>
      </w:r>
      <w:r>
        <w:rPr>
          <w:sz w:val="24"/>
        </w:rPr>
        <w:t>，加强自身修养，弘扬高尚师德，提高高等教育质量具有重要现实意义；对于深入开展</w:t>
      </w:r>
      <w:r>
        <w:fldChar w:fldCharType="begin"/>
      </w:r>
      <w:r>
        <w:instrText xml:space="preserve"> HYPERLINK "http://baike.baidu.com/view/5072.htm" \t "_blank" </w:instrText>
      </w:r>
      <w:r>
        <w:fldChar w:fldCharType="separate"/>
      </w:r>
      <w:r>
        <w:rPr>
          <w:rStyle w:val="14"/>
          <w:color w:val="auto"/>
          <w:sz w:val="24"/>
          <w:u w:val="none"/>
        </w:rPr>
        <w:t>社会主义荣辱观</w:t>
      </w:r>
      <w:r>
        <w:rPr>
          <w:rStyle w:val="14"/>
          <w:color w:val="auto"/>
          <w:sz w:val="24"/>
          <w:u w:val="none"/>
        </w:rPr>
        <w:fldChar w:fldCharType="end"/>
      </w:r>
      <w:r>
        <w:rPr>
          <w:sz w:val="24"/>
        </w:rPr>
        <w:t>教育，全面加强学校德育体系建设，提高全民族文明素质也具有广泛的社会意义。</w:t>
      </w:r>
    </w:p>
    <w:p>
      <w:pPr>
        <w:spacing w:line="360" w:lineRule="auto"/>
        <w:ind w:firstLine="480" w:firstLineChars="200"/>
        <w:rPr>
          <w:sz w:val="24"/>
        </w:rPr>
      </w:pPr>
      <w:r>
        <w:rPr>
          <w:sz w:val="24"/>
        </w:rPr>
        <w:t>长期以来，广大高校教师自觉贯彻党的教育方针，学为人师、行为世范、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表；个别教师甚至师德失范、学术不端，严重损害人民教师的职业声誉。这些问题的存在，虽不是主流，但必须高度重视，采取切实措施加以解决。</w:t>
      </w:r>
    </w:p>
    <w:p>
      <w:pPr>
        <w:spacing w:line="360" w:lineRule="auto"/>
        <w:ind w:firstLine="480" w:firstLineChars="200"/>
        <w:rPr>
          <w:sz w:val="24"/>
        </w:rPr>
      </w:pPr>
      <w:r>
        <w:rPr>
          <w:sz w:val="24"/>
        </w:rPr>
        <w:t>《规范》是推动高校师德建设的指导性文件。当前和今后一段时期，要把学习贯彻《规范》作为加强高校师德建设的首要任务，与深入贯彻落实胡锦涛总书记在庆祝</w:t>
      </w:r>
      <w:r>
        <w:fldChar w:fldCharType="begin"/>
      </w:r>
      <w:r>
        <w:instrText xml:space="preserve"> HYPERLINK "http://baike.baidu.com/view/1563.htm" \t "_blank" </w:instrText>
      </w:r>
      <w:r>
        <w:fldChar w:fldCharType="separate"/>
      </w:r>
      <w:r>
        <w:rPr>
          <w:rStyle w:val="14"/>
          <w:color w:val="auto"/>
          <w:sz w:val="24"/>
          <w:u w:val="none"/>
        </w:rPr>
        <w:t>清华大学</w:t>
      </w:r>
      <w:r>
        <w:rPr>
          <w:rStyle w:val="14"/>
          <w:color w:val="auto"/>
          <w:sz w:val="24"/>
          <w:u w:val="none"/>
        </w:rPr>
        <w:fldChar w:fldCharType="end"/>
      </w:r>
      <w:r>
        <w:rPr>
          <w:sz w:val="24"/>
        </w:rPr>
        <w:t>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pPr>
        <w:spacing w:line="360" w:lineRule="auto"/>
        <w:ind w:firstLine="480" w:firstLineChars="200"/>
        <w:rPr>
          <w:sz w:val="24"/>
        </w:rPr>
      </w:pPr>
      <w:r>
        <w:rPr>
          <w:sz w:val="24"/>
        </w:rPr>
        <w:t>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践行的行为准则。</w:t>
      </w:r>
    </w:p>
    <w:p>
      <w:pPr>
        <w:spacing w:line="360" w:lineRule="auto"/>
        <w:ind w:firstLine="480" w:firstLineChars="200"/>
        <w:rPr>
          <w:sz w:val="24"/>
        </w:rPr>
      </w:pPr>
      <w:r>
        <w:rPr>
          <w:sz w:val="24"/>
        </w:rPr>
        <w:t>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pPr>
        <w:spacing w:line="360" w:lineRule="auto"/>
        <w:ind w:firstLine="480" w:firstLineChars="200"/>
        <w:rPr>
          <w:sz w:val="24"/>
        </w:rPr>
      </w:pPr>
      <w:r>
        <w:rPr>
          <w:sz w:val="24"/>
        </w:rPr>
        <w:t>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pPr>
        <w:spacing w:line="360" w:lineRule="auto"/>
        <w:ind w:firstLine="480" w:firstLineChars="200"/>
        <w:rPr>
          <w:sz w:val="24"/>
        </w:rPr>
      </w:pPr>
      <w:r>
        <w:rPr>
          <w:sz w:val="24"/>
        </w:rPr>
        <w:t>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现失范的，要依法依规严肃处理。</w:t>
      </w:r>
    </w:p>
    <w:p>
      <w:pPr>
        <w:spacing w:line="360" w:lineRule="auto"/>
        <w:ind w:firstLine="480" w:firstLineChars="200"/>
        <w:rPr>
          <w:sz w:val="24"/>
        </w:rPr>
      </w:pPr>
      <w:r>
        <w:rPr>
          <w:sz w:val="24"/>
        </w:rPr>
        <w:t>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pPr>
        <w:spacing w:line="360" w:lineRule="auto"/>
        <w:ind w:firstLine="480" w:firstLineChars="200"/>
        <w:rPr>
          <w:sz w:val="24"/>
        </w:rPr>
      </w:pPr>
      <w:r>
        <w:rPr>
          <w:sz w:val="24"/>
        </w:rPr>
        <w:t>附件：高等学校教师职业道德规范　　</w:t>
      </w:r>
    </w:p>
    <w:p>
      <w:pPr>
        <w:spacing w:line="360" w:lineRule="auto"/>
        <w:jc w:val="right"/>
        <w:rPr>
          <w:sz w:val="24"/>
        </w:rPr>
      </w:pPr>
    </w:p>
    <w:p>
      <w:pPr>
        <w:spacing w:line="360" w:lineRule="auto"/>
        <w:jc w:val="right"/>
        <w:rPr>
          <w:sz w:val="24"/>
        </w:rPr>
      </w:pPr>
    </w:p>
    <w:p>
      <w:pPr>
        <w:spacing w:line="360" w:lineRule="auto"/>
        <w:jc w:val="right"/>
        <w:rPr>
          <w:sz w:val="24"/>
        </w:rPr>
      </w:pPr>
      <w:r>
        <w:fldChar w:fldCharType="begin"/>
      </w:r>
      <w:r>
        <w:instrText xml:space="preserve"> HYPERLINK "http://baike.baidu.com/view/193814.htm" \t "_blank" </w:instrText>
      </w:r>
      <w:r>
        <w:fldChar w:fldCharType="separate"/>
      </w:r>
      <w:r>
        <w:rPr>
          <w:rStyle w:val="14"/>
          <w:color w:val="auto"/>
          <w:sz w:val="24"/>
          <w:u w:val="none"/>
        </w:rPr>
        <w:t>中华人民共和国教育部</w:t>
      </w:r>
      <w:r>
        <w:rPr>
          <w:rStyle w:val="14"/>
          <w:color w:val="auto"/>
          <w:sz w:val="24"/>
          <w:u w:val="none"/>
        </w:rPr>
        <w:fldChar w:fldCharType="end"/>
      </w:r>
      <w:r>
        <w:rPr>
          <w:sz w:val="24"/>
        </w:rPr>
        <w:t xml:space="preserve"> 中国教科文卫体工会全国委员会</w:t>
      </w:r>
    </w:p>
    <w:p>
      <w:pPr>
        <w:spacing w:line="360" w:lineRule="auto"/>
        <w:ind w:right="1200"/>
        <w:jc w:val="right"/>
        <w:rPr>
          <w:sz w:val="24"/>
        </w:rPr>
      </w:pPr>
      <w:r>
        <w:rPr>
          <w:sz w:val="24"/>
        </w:rPr>
        <w:t>二○一一年十二月二十三日</w:t>
      </w:r>
    </w:p>
    <w:p>
      <w:pPr>
        <w:spacing w:line="360" w:lineRule="auto"/>
        <w:rPr>
          <w:b/>
          <w:sz w:val="32"/>
          <w:szCs w:val="32"/>
        </w:rPr>
      </w:pPr>
    </w:p>
    <w:p>
      <w:pPr>
        <w:spacing w:line="560" w:lineRule="exact"/>
        <w:jc w:val="center"/>
        <w:rPr>
          <w:b/>
          <w:sz w:val="32"/>
          <w:szCs w:val="32"/>
        </w:rPr>
      </w:pPr>
      <w:r>
        <w:rPr>
          <w:b/>
          <w:sz w:val="32"/>
          <w:szCs w:val="32"/>
        </w:rPr>
        <w:t>高等学校教师职业道德规范</w:t>
      </w:r>
    </w:p>
    <w:p>
      <w:pPr>
        <w:spacing w:line="560" w:lineRule="exact"/>
        <w:jc w:val="center"/>
        <w:rPr>
          <w:b/>
          <w:sz w:val="32"/>
          <w:szCs w:val="32"/>
        </w:rPr>
      </w:pPr>
      <w:r>
        <w:fldChar w:fldCharType="begin"/>
      </w:r>
      <w:r>
        <w:instrText xml:space="preserve"> HYPERLINK "http://baike.baidu.com/link?url=CMvf2VGogywWA-vzzdeyf649LW61UM6q1UHyGcsgR8ImnZKaZZ6bKurQ0A_1dbnhNkP3kjPpiDmRk-NmxyAaAK" \l "#" \o "编辑本段" </w:instrText>
      </w:r>
      <w:r>
        <w:fldChar w:fldCharType="separate"/>
      </w:r>
      <w:r>
        <w:fldChar w:fldCharType="end"/>
      </w:r>
    </w:p>
    <w:p>
      <w:pPr>
        <w:spacing w:line="360" w:lineRule="auto"/>
        <w:ind w:firstLine="480" w:firstLineChars="200"/>
        <w:rPr>
          <w:sz w:val="24"/>
        </w:rPr>
      </w:pPr>
      <w:r>
        <w:rPr>
          <w:sz w:val="24"/>
        </w:rPr>
        <w:t>一、爱国守法。热爱祖国，热爱人民，拥护中国共产党领导，拥护</w:t>
      </w:r>
      <w:r>
        <w:fldChar w:fldCharType="begin"/>
      </w:r>
      <w:r>
        <w:instrText xml:space="preserve"> HYPERLINK "http://baike.baidu.com/view/6026597.htm" \t "_blank" </w:instrText>
      </w:r>
      <w:r>
        <w:fldChar w:fldCharType="separate"/>
      </w:r>
      <w:r>
        <w:rPr>
          <w:rStyle w:val="14"/>
          <w:color w:val="auto"/>
          <w:sz w:val="24"/>
          <w:u w:val="none"/>
        </w:rPr>
        <w:t>中国特色社会主义制度</w:t>
      </w:r>
      <w:r>
        <w:rPr>
          <w:rStyle w:val="14"/>
          <w:color w:val="auto"/>
          <w:sz w:val="24"/>
          <w:u w:val="none"/>
        </w:rPr>
        <w:fldChar w:fldCharType="end"/>
      </w:r>
      <w:r>
        <w:rPr>
          <w:sz w:val="24"/>
        </w:rPr>
        <w:t>。遵守宪法和法律法规，贯彻党和国家教育方针，依法履行教师职责，维护社会稳定和校园和谐。不得有损害国家利益和不利于学生健康成长的言行。</w:t>
      </w:r>
    </w:p>
    <w:p>
      <w:pPr>
        <w:spacing w:line="360" w:lineRule="auto"/>
        <w:ind w:firstLine="480" w:firstLineChars="200"/>
        <w:rPr>
          <w:sz w:val="24"/>
        </w:rPr>
      </w:pPr>
      <w:r>
        <w:rPr>
          <w:sz w:val="24"/>
        </w:rPr>
        <w:t>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pPr>
        <w:spacing w:line="360" w:lineRule="auto"/>
        <w:ind w:firstLine="480" w:firstLineChars="200"/>
        <w:rPr>
          <w:sz w:val="24"/>
        </w:rPr>
      </w:pPr>
      <w:r>
        <w:rPr>
          <w:sz w:val="24"/>
        </w:rPr>
        <w:t>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pPr>
        <w:spacing w:line="360" w:lineRule="auto"/>
        <w:ind w:firstLine="480" w:firstLineChars="200"/>
        <w:rPr>
          <w:sz w:val="24"/>
        </w:rPr>
      </w:pPr>
      <w:r>
        <w:rPr>
          <w:sz w:val="24"/>
        </w:rPr>
        <w:t>四、严谨治学。弘扬科学精神，勇于探索，追求真理，修正错误，精益求精。实事求是，发扬民主，团结合作，协同创新。秉持学术良知，恪守学术规范。尊重他人劳动和学术成果，维护</w:t>
      </w:r>
      <w:r>
        <w:fldChar w:fldCharType="begin"/>
      </w:r>
      <w:r>
        <w:instrText xml:space="preserve"> HYPERLINK "http://baike.baidu.com/view/1606469.htm" \t "_blank" </w:instrText>
      </w:r>
      <w:r>
        <w:fldChar w:fldCharType="separate"/>
      </w:r>
      <w:r>
        <w:rPr>
          <w:rStyle w:val="14"/>
          <w:color w:val="auto"/>
          <w:sz w:val="24"/>
          <w:u w:val="none"/>
        </w:rPr>
        <w:t>学术自由</w:t>
      </w:r>
      <w:r>
        <w:rPr>
          <w:rStyle w:val="14"/>
          <w:color w:val="auto"/>
          <w:sz w:val="24"/>
          <w:u w:val="none"/>
        </w:rPr>
        <w:fldChar w:fldCharType="end"/>
      </w:r>
      <w:r>
        <w:rPr>
          <w:sz w:val="24"/>
        </w:rPr>
        <w:t>和学术尊严。诚实守信，力戒浮躁。坚决抵制学术失范和</w:t>
      </w:r>
      <w:r>
        <w:fldChar w:fldCharType="begin"/>
      </w:r>
      <w:r>
        <w:instrText xml:space="preserve"> HYPERLINK "http://baike.baidu.com/view/2295609.htm" \t "_blank" </w:instrText>
      </w:r>
      <w:r>
        <w:fldChar w:fldCharType="separate"/>
      </w:r>
      <w:r>
        <w:rPr>
          <w:rStyle w:val="14"/>
          <w:color w:val="auto"/>
          <w:sz w:val="24"/>
          <w:u w:val="none"/>
        </w:rPr>
        <w:t>学术不端行为</w:t>
      </w:r>
      <w:r>
        <w:rPr>
          <w:rStyle w:val="14"/>
          <w:color w:val="auto"/>
          <w:sz w:val="24"/>
          <w:u w:val="none"/>
        </w:rPr>
        <w:fldChar w:fldCharType="end"/>
      </w:r>
      <w:r>
        <w:rPr>
          <w:sz w:val="24"/>
        </w:rPr>
        <w:t>。</w:t>
      </w:r>
    </w:p>
    <w:p>
      <w:pPr>
        <w:spacing w:line="360" w:lineRule="auto"/>
        <w:ind w:firstLine="480" w:firstLineChars="200"/>
        <w:rPr>
          <w:sz w:val="24"/>
        </w:rPr>
      </w:pPr>
      <w:r>
        <w:rPr>
          <w:sz w:val="24"/>
        </w:rPr>
        <w:t>五、服务社会。勇担社会责任，为国家富强、民族振兴和人类进步服务。传播优秀文化，普及科学知识。热心公益，服务大众。主动参与社会实践，自觉承担社会义务，积极提供专业服务。坚决反对滥用学术资源和学术影响。</w:t>
      </w:r>
    </w:p>
    <w:p>
      <w:pPr>
        <w:spacing w:line="360" w:lineRule="auto"/>
        <w:ind w:firstLine="480" w:firstLineChars="200"/>
        <w:rPr>
          <w:sz w:val="24"/>
        </w:rPr>
      </w:pPr>
      <w:r>
        <w:rPr>
          <w:sz w:val="24"/>
        </w:rPr>
        <w:t>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pPr>
        <w:spacing w:line="360" w:lineRule="auto"/>
        <w:rPr>
          <w:sz w:val="24"/>
        </w:rPr>
      </w:pPr>
    </w:p>
    <w:p>
      <w:pPr>
        <w:pStyle w:val="10"/>
        <w:shd w:val="clear" w:color="auto" w:fill="FFFFFF"/>
        <w:spacing w:before="0" w:beforeAutospacing="0" w:after="0" w:afterAutospacing="0" w:line="360" w:lineRule="auto"/>
        <w:ind w:firstLine="482"/>
        <w:rPr>
          <w:rFonts w:asciiTheme="minorEastAsia" w:hAnsiTheme="minorEastAsia" w:eastAsiaTheme="minorEastAsia"/>
          <w:color w:val="333333"/>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spacing w:line="560" w:lineRule="exact"/>
        <w:jc w:val="center"/>
        <w:rPr>
          <w:rFonts w:cs="宋体" w:asciiTheme="majorEastAsia" w:hAnsiTheme="majorEastAsia" w:eastAsiaTheme="majorEastAsia"/>
          <w:b/>
          <w:color w:val="4B4B4B"/>
          <w:kern w:val="0"/>
          <w:sz w:val="32"/>
          <w:szCs w:val="32"/>
        </w:rPr>
      </w:pPr>
      <w:r>
        <w:rPr>
          <w:rFonts w:hint="eastAsia" w:cs="宋体" w:asciiTheme="majorEastAsia" w:hAnsiTheme="majorEastAsia" w:eastAsiaTheme="majorEastAsia"/>
          <w:b/>
          <w:color w:val="4B4B4B"/>
          <w:kern w:val="0"/>
          <w:sz w:val="32"/>
          <w:szCs w:val="32"/>
        </w:rPr>
        <w:t>教育部关于普通高等学校本科教学评估工作的意见</w:t>
      </w:r>
    </w:p>
    <w:p>
      <w:pPr>
        <w:widowControl/>
        <w:shd w:val="clear" w:color="auto" w:fill="FFFFFF"/>
        <w:spacing w:line="560" w:lineRule="exact"/>
        <w:jc w:val="center"/>
        <w:rPr>
          <w:rFonts w:cs="宋体" w:asciiTheme="majorEastAsia" w:hAnsiTheme="majorEastAsia" w:eastAsiaTheme="majorEastAsia"/>
          <w:b/>
          <w:color w:val="4B4B4B"/>
          <w:kern w:val="0"/>
          <w:sz w:val="28"/>
          <w:szCs w:val="28"/>
        </w:rPr>
      </w:pPr>
      <w:r>
        <w:rPr>
          <w:rFonts w:hint="eastAsia" w:cs="宋体" w:asciiTheme="majorEastAsia" w:hAnsiTheme="majorEastAsia" w:eastAsiaTheme="majorEastAsia"/>
          <w:b/>
          <w:color w:val="4B4B4B"/>
          <w:kern w:val="0"/>
          <w:sz w:val="28"/>
          <w:szCs w:val="28"/>
        </w:rPr>
        <w:t>教高〔2011〕9号</w:t>
      </w:r>
    </w:p>
    <w:p>
      <w:pPr>
        <w:widowControl/>
        <w:shd w:val="clear" w:color="auto" w:fill="FFFFFF"/>
        <w:spacing w:line="560" w:lineRule="exact"/>
        <w:jc w:val="center"/>
        <w:rPr>
          <w:rFonts w:cs="宋体" w:asciiTheme="majorEastAsia" w:hAnsiTheme="majorEastAsia" w:eastAsiaTheme="majorEastAsia"/>
          <w:b/>
          <w:color w:val="4B4B4B"/>
          <w:kern w:val="0"/>
          <w:sz w:val="30"/>
          <w:szCs w:val="30"/>
        </w:rPr>
      </w:pPr>
    </w:p>
    <w:p>
      <w:pPr>
        <w:widowControl/>
        <w:shd w:val="clear" w:color="auto" w:fill="FFFFFF"/>
        <w:spacing w:before="100" w:beforeAutospacing="1" w:after="100" w:afterAutospacing="1" w:line="360" w:lineRule="auto"/>
        <w:jc w:val="right"/>
        <w:rPr>
          <w:rFonts w:cs="宋体" w:asciiTheme="majorEastAsia" w:hAnsiTheme="majorEastAsia" w:eastAsiaTheme="majorEastAsia"/>
          <w:b/>
          <w:bCs/>
          <w:vanish/>
          <w:color w:val="4B4B4B"/>
          <w:kern w:val="0"/>
          <w:sz w:val="24"/>
          <w:szCs w:val="24"/>
        </w:rPr>
      </w:pPr>
      <w:r>
        <w:rPr>
          <w:rFonts w:hint="eastAsia" w:cs="宋体" w:asciiTheme="majorEastAsia" w:hAnsiTheme="majorEastAsia" w:eastAsiaTheme="majorEastAsia"/>
          <w:b/>
          <w:bCs/>
          <w:vanish/>
          <w:color w:val="4B4B4B"/>
          <w:kern w:val="0"/>
          <w:sz w:val="24"/>
          <w:szCs w:val="24"/>
        </w:rPr>
        <w:t>教高〔2011〕9号</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各省、自治区、直辖市教育厅（教委），新疆生产建设兵团教育局，有关部门（单位）教育司（局），部属各高等学校：</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为落实《国家中长期教育改革和发展规划纲要（2010—2020年）》，切实推进高等教育质量保障体系建设，全面提高本科教学水平和人才培养质量，现就普通高等学校本科教学评估工作提出如下意见：</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w:t>
      </w:r>
      <w:r>
        <w:rPr>
          <w:rFonts w:hint="eastAsia" w:cs="宋体" w:asciiTheme="majorEastAsia" w:hAnsiTheme="majorEastAsia" w:eastAsiaTheme="majorEastAsia"/>
          <w:b/>
          <w:bCs/>
          <w:color w:val="4B4B4B"/>
          <w:kern w:val="0"/>
          <w:sz w:val="24"/>
          <w:szCs w:val="24"/>
        </w:rPr>
        <w:t>一、本科教学评估的意义目的</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1.人才培养是高等学校的根本任务。提高人才培养质量的重点是提高教学质量。教学评估是评价、监督、保障和提高教学质量的重要举措，是我国高等教育质量保障体系的重要组成部分。</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2.开展教学评估的目的是促进高等学校全面贯彻党的教育方针，推进教学改革，提高人才培养质量，增强本科教学主动服务经济社会发展需要和人的全面发展需求的能力；促进政府对高等学校实施宏观管理和分类指导，引导高等学校合理定位、办出水平、办出特色；促进社会参与高等学校人才培养和评价、监督高等学校本科教学质量。</w:t>
      </w:r>
    </w:p>
    <w:p>
      <w:pPr>
        <w:widowControl/>
        <w:shd w:val="clear" w:color="auto" w:fill="FFFFFF"/>
        <w:spacing w:line="360" w:lineRule="auto"/>
        <w:jc w:val="left"/>
        <w:rPr>
          <w:rFonts w:cs="宋体" w:asciiTheme="majorEastAsia" w:hAnsiTheme="majorEastAsia" w:eastAsiaTheme="majorEastAsia"/>
          <w:b/>
          <w:color w:val="4B4B4B"/>
          <w:kern w:val="0"/>
          <w:sz w:val="24"/>
          <w:szCs w:val="24"/>
        </w:rPr>
      </w:pPr>
      <w:r>
        <w:rPr>
          <w:rFonts w:hint="eastAsia" w:cs="宋体" w:asciiTheme="majorEastAsia" w:hAnsiTheme="majorEastAsia" w:eastAsiaTheme="majorEastAsia"/>
          <w:color w:val="4B4B4B"/>
          <w:kern w:val="0"/>
          <w:sz w:val="24"/>
          <w:szCs w:val="24"/>
        </w:rPr>
        <w:t>　</w:t>
      </w:r>
      <w:r>
        <w:rPr>
          <w:rFonts w:hint="eastAsia" w:cs="宋体" w:asciiTheme="majorEastAsia" w:hAnsiTheme="majorEastAsia" w:eastAsiaTheme="majorEastAsia"/>
          <w:b/>
          <w:color w:val="4B4B4B"/>
          <w:kern w:val="0"/>
          <w:sz w:val="24"/>
          <w:szCs w:val="24"/>
        </w:rPr>
        <w:t>　二、本科教学评估的制度体系</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3.建立健全以学校自我评估为基础，以院校评估、专业认证及评估、国际评估和教学基本状态数据常态监测为主要内容，政府、学校、专门机构和社会多元评价相结合，与中国特色现代高等教育体系相适应的教学评估制度。</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4.强化高等学校质量保障的主体意识，完善校内自我评估制度，建立健全校内质量保障体系；国家对高等学校实行分类的院校评估，促进高等学校办出特色；鼓励开展行业用人部门深度参与的专业认证及评估，增强人才培养与社会需求的适应性；充分利用信息技术，建设高等学校教学基本状态数据库，实现本科教学质量常态化监控；借鉴国际评估的先进理念和经验，加强国际合作与交流，鼓励在相关领域开展国际评估，提高本科人才培养质量和评估工作水平；按照中央和省级政府两级分工负责以及“管办评分离”的原则，形成科学合理、运行有效的评估工作组织体系。</w:t>
      </w:r>
    </w:p>
    <w:p>
      <w:pPr>
        <w:widowControl/>
        <w:shd w:val="clear" w:color="auto" w:fill="FFFFFF"/>
        <w:spacing w:line="360" w:lineRule="auto"/>
        <w:ind w:firstLine="482" w:firstLineChars="200"/>
        <w:jc w:val="left"/>
        <w:rPr>
          <w:rFonts w:cs="宋体" w:asciiTheme="majorEastAsia" w:hAnsiTheme="majorEastAsia" w:eastAsiaTheme="majorEastAsia"/>
          <w:b/>
          <w:color w:val="4B4B4B"/>
          <w:kern w:val="0"/>
          <w:sz w:val="24"/>
          <w:szCs w:val="24"/>
        </w:rPr>
      </w:pPr>
      <w:r>
        <w:rPr>
          <w:rFonts w:hint="eastAsia" w:cs="宋体" w:asciiTheme="majorEastAsia" w:hAnsiTheme="majorEastAsia" w:eastAsiaTheme="majorEastAsia"/>
          <w:b/>
          <w:color w:val="4B4B4B"/>
          <w:kern w:val="0"/>
          <w:sz w:val="24"/>
          <w:szCs w:val="24"/>
        </w:rPr>
        <w:t>三、本科教学评估的主要内容与基本形式</w:t>
      </w:r>
    </w:p>
    <w:p>
      <w:pPr>
        <w:widowControl/>
        <w:shd w:val="clear" w:color="auto" w:fill="FFFFFF"/>
        <w:spacing w:line="360" w:lineRule="auto"/>
        <w:ind w:firstLine="480" w:firstLineChars="200"/>
        <w:jc w:val="left"/>
        <w:rPr>
          <w:rFonts w:cs="宋体" w:asciiTheme="majorEastAsia" w:hAnsiTheme="majorEastAsia" w:eastAsiaTheme="majorEastAsia"/>
          <w:b/>
          <w:color w:val="4B4B4B"/>
          <w:kern w:val="0"/>
          <w:sz w:val="24"/>
          <w:szCs w:val="24"/>
        </w:rPr>
      </w:pPr>
      <w:r>
        <w:rPr>
          <w:rFonts w:hint="eastAsia" w:cs="宋体" w:asciiTheme="majorEastAsia" w:hAnsiTheme="majorEastAsia" w:eastAsiaTheme="majorEastAsia"/>
          <w:color w:val="4B4B4B"/>
          <w:kern w:val="0"/>
          <w:sz w:val="24"/>
          <w:szCs w:val="24"/>
        </w:rPr>
        <w:t>5.教学基本状态数据常态监测。高等学校要充分利用信息技术，采集反映教学状态的基本数据，建立高等学校本科教学基本状态数据库。高等学校对数据库数据要及时更新，及时分析本科教学状况，建立本科教学工作及其质量常态监控机制，对社会关注的核心教学数据须在一定范围内向社会发布。国家建立全国高等学校本科教学基本状态数据库，充分发挥状态数据在政府监控高等教育质量、社会监督高等学校人才培养和本科教学评估工作中的重要作用。</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6.学校自我评估。高等学校应建立本科教学自我评估制度，根据学校确定的人才培养目标，围绕教学条件、教学过程、教学效果进行评估，包括院系评估、学科专业评估、课程评估等多项内容。应特别注重教师和学生对教学工作的评价，注重学生学习效果和教学资源使用效率的评价，注重用人单位对人才培养质量的评价。要建立有效的校内教学质量监测和调控机制，建立健全学校本科教学质量保障体系。学校在自我评估基础上形成本科教学年度质量报告，在适当范围发布并报相关教育行政（主管）部门。学校年度质量报告作为国家和有关专门机构开展院校评估和专业评估的重要参考。</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7.实现分类的院校评估。院校评估包括合格评估和审核评估。合格评估的对象是2000年以来未参加过院校评估的新建本科学校；审核评估的对象是参加过院校评估并获得通过的普通本科学校。</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合格评估的重点是考察学校基本办学条件、基本教学管理和基本教学质量，学校服务地方经济社会发展的能力和应用型人才培养的能力，学校教学改革和内部质量保障体系建设和运行的情况。评估结论分为“通过”、“暂缓通过”和“不通过”三种。“通过”的学校5年后进入审核评估。</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审核评估重点考察学校办学条件、本科教学质量与办学定位、人才培养目标的符合程度，学校内部质量保障体系建设及运行状况，学校深化本科教学改革的措施及成效。审核评估形成写实性报告，不分等级，周期为5年。</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8.开展专业认证及评估。在工程、医学等领域积极推进与国际标准实质等效的专业认证。要与行业共同制定认证标准，共同实施认证过程，体现行业需求，强化实践教学环节，并取得业界认可。鼓励专门机构和社会中介机构对高等学校进行专业评估。</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9.探索国际评估。鼓励有条件的高等学校聘请相应学科专业领域的国际高水平专家学者开展本校学科专业的国际评估。探索与国际高水平教育评估机构合作，积极进行评估工作的国际交流，提高评估工作水平。</w:t>
      </w:r>
    </w:p>
    <w:p>
      <w:pPr>
        <w:widowControl/>
        <w:shd w:val="clear" w:color="auto" w:fill="FFFFFF"/>
        <w:spacing w:line="360" w:lineRule="auto"/>
        <w:jc w:val="left"/>
        <w:rPr>
          <w:rFonts w:cs="宋体" w:asciiTheme="majorEastAsia" w:hAnsiTheme="majorEastAsia" w:eastAsiaTheme="majorEastAsia"/>
          <w:b/>
          <w:color w:val="4B4B4B"/>
          <w:kern w:val="0"/>
          <w:sz w:val="24"/>
          <w:szCs w:val="24"/>
        </w:rPr>
      </w:pPr>
      <w:r>
        <w:rPr>
          <w:rFonts w:hint="eastAsia" w:cs="宋体" w:asciiTheme="majorEastAsia" w:hAnsiTheme="majorEastAsia" w:eastAsiaTheme="majorEastAsia"/>
          <w:color w:val="4B4B4B"/>
          <w:kern w:val="0"/>
          <w:sz w:val="24"/>
          <w:szCs w:val="24"/>
        </w:rPr>
        <w:t>　</w:t>
      </w:r>
      <w:r>
        <w:rPr>
          <w:rFonts w:hint="eastAsia" w:cs="宋体" w:asciiTheme="majorEastAsia" w:hAnsiTheme="majorEastAsia" w:eastAsiaTheme="majorEastAsia"/>
          <w:b/>
          <w:color w:val="4B4B4B"/>
          <w:kern w:val="0"/>
          <w:sz w:val="24"/>
          <w:szCs w:val="24"/>
        </w:rPr>
        <w:t>　四、本科教学评估的组织管理</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10.完善中央和省级政府两级分工明确、各负其责的本科教学评估工作制度。教育部制定评估工作方针政策、教学质量基本标准，统筹、指导和监督评估工作。省级教育行政部门依据国家有关规定和要求，结合本地区高等教育发展需要，制定本地区所属高等学校教学评估规划，组织实施本地区所属高等学校的审核评估工作，推动学校落实评估整改工作。</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建立与“管办评分离”相适应的评估工作组织体系，充分发挥第三方评估的作用，由具备条件的教育评估机构实施相关评估工作。教育评估机构要加强自身专业化和规范化建设，加强评估专家队伍建设，严格评估过程组织，制定科学的评估方式方法。</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11.教育部设立普通高等学校本科教学工作评估专家委员会，开展评估研究、政策咨询、指导检查、监督和仲裁等。</w:t>
      </w:r>
    </w:p>
    <w:p>
      <w:pPr>
        <w:widowControl/>
        <w:shd w:val="clear" w:color="auto" w:fill="FFFFFF"/>
        <w:spacing w:line="360" w:lineRule="auto"/>
        <w:jc w:val="left"/>
        <w:rPr>
          <w:rFonts w:cs="宋体" w:asciiTheme="majorEastAsia" w:hAnsiTheme="majorEastAsia" w:eastAsiaTheme="majorEastAsia"/>
          <w:color w:val="4B4B4B"/>
          <w:kern w:val="0"/>
          <w:sz w:val="24"/>
          <w:szCs w:val="24"/>
        </w:rPr>
      </w:pPr>
      <w:r>
        <w:rPr>
          <w:rFonts w:hint="eastAsia" w:cs="宋体" w:asciiTheme="majorEastAsia" w:hAnsiTheme="majorEastAsia" w:eastAsiaTheme="majorEastAsia"/>
          <w:color w:val="4B4B4B"/>
          <w:kern w:val="0"/>
          <w:sz w:val="24"/>
          <w:szCs w:val="24"/>
        </w:rPr>
        <w:t>　　12.加强评估工作管理，切实推进“阳光评估”。评估机构、参评学校人员和评估专家要增强责任感、使命感，自觉遵守评估工作规则规程，规范评估行为。建立评估信息公告制度，评估政策、评估文件、评估方案、评估标准、评估程序以及学校自评报告、专家现场考察报告、评估结论等均在适当范围公开，广泛接受教师、学生和社会各界的监督。</w:t>
      </w:r>
    </w:p>
    <w:p>
      <w:pPr>
        <w:spacing w:line="360" w:lineRule="auto"/>
        <w:rPr>
          <w:rFonts w:asciiTheme="majorEastAsia" w:hAnsiTheme="majorEastAsia" w:eastAsiaTheme="majorEastAsia"/>
          <w:color w:val="4B4B4B"/>
          <w:sz w:val="24"/>
          <w:szCs w:val="24"/>
        </w:rPr>
      </w:pPr>
    </w:p>
    <w:p>
      <w:pPr>
        <w:spacing w:line="360" w:lineRule="auto"/>
        <w:rPr>
          <w:rFonts w:asciiTheme="majorEastAsia" w:hAnsiTheme="majorEastAsia" w:eastAsiaTheme="majorEastAsia"/>
          <w:color w:val="4B4B4B"/>
          <w:sz w:val="24"/>
          <w:szCs w:val="24"/>
        </w:rPr>
      </w:pPr>
    </w:p>
    <w:p>
      <w:pPr>
        <w:spacing w:line="360" w:lineRule="auto"/>
        <w:jc w:val="right"/>
        <w:rPr>
          <w:rFonts w:asciiTheme="majorEastAsia" w:hAnsiTheme="majorEastAsia" w:eastAsiaTheme="majorEastAsia"/>
          <w:color w:val="4B4B4B"/>
          <w:sz w:val="24"/>
          <w:szCs w:val="24"/>
        </w:rPr>
      </w:pPr>
      <w:r>
        <w:rPr>
          <w:rFonts w:hint="eastAsia" w:asciiTheme="majorEastAsia" w:hAnsiTheme="majorEastAsia" w:eastAsiaTheme="majorEastAsia"/>
          <w:color w:val="4B4B4B"/>
          <w:sz w:val="24"/>
          <w:szCs w:val="24"/>
        </w:rPr>
        <w:t>中华人民共和国教育部</w:t>
      </w:r>
    </w:p>
    <w:p>
      <w:pPr>
        <w:spacing w:line="360" w:lineRule="auto"/>
        <w:jc w:val="right"/>
        <w:rPr>
          <w:rFonts w:asciiTheme="majorEastAsia" w:hAnsiTheme="majorEastAsia" w:eastAsiaTheme="majorEastAsia"/>
          <w:sz w:val="24"/>
          <w:szCs w:val="24"/>
        </w:rPr>
      </w:pPr>
      <w:r>
        <w:rPr>
          <w:rFonts w:hint="eastAsia" w:asciiTheme="majorEastAsia" w:hAnsiTheme="majorEastAsia" w:eastAsiaTheme="majorEastAsia"/>
          <w:color w:val="4B4B4B"/>
          <w:sz w:val="24"/>
          <w:szCs w:val="24"/>
        </w:rPr>
        <w:t>二〇一一年十月十三日</w:t>
      </w:r>
    </w:p>
    <w:p>
      <w:pPr>
        <w:spacing w:line="360" w:lineRule="auto"/>
        <w:rPr>
          <w:rFonts w:asciiTheme="minorEastAsia" w:hAnsiTheme="minorEastAsia"/>
          <w:sz w:val="24"/>
          <w:szCs w:val="24"/>
        </w:rPr>
      </w:pPr>
      <w:r>
        <w:rPr>
          <w:rFonts w:asciiTheme="minorEastAsia" w:hAnsiTheme="minorEastAsia"/>
          <w:sz w:val="24"/>
          <w:szCs w:val="24"/>
        </w:rPr>
        <w:br w:type="page"/>
      </w:r>
    </w:p>
    <w:p>
      <w:pPr>
        <w:pStyle w:val="10"/>
        <w:spacing w:before="0" w:beforeAutospacing="0" w:after="0" w:afterAutospacing="0" w:line="560" w:lineRule="exact"/>
        <w:jc w:val="center"/>
        <w:rPr>
          <w:rFonts w:cs="Helvetica" w:asciiTheme="minorEastAsia" w:hAnsiTheme="minorEastAsia" w:eastAsiaTheme="minorEastAsia"/>
          <w:b/>
          <w:sz w:val="32"/>
          <w:szCs w:val="32"/>
        </w:rPr>
      </w:pPr>
      <w:r>
        <w:rPr>
          <w:rFonts w:cs="Helvetica" w:asciiTheme="minorEastAsia" w:hAnsiTheme="minorEastAsia" w:eastAsiaTheme="minorEastAsia"/>
          <w:b/>
          <w:sz w:val="32"/>
          <w:szCs w:val="32"/>
        </w:rPr>
        <w:t>中共中央 国务院关于全面深化新时代</w:t>
      </w:r>
    </w:p>
    <w:p>
      <w:pPr>
        <w:pStyle w:val="10"/>
        <w:spacing w:before="0" w:beforeAutospacing="0" w:after="0" w:afterAutospacing="0" w:line="560" w:lineRule="exact"/>
        <w:jc w:val="center"/>
        <w:rPr>
          <w:rFonts w:cs="Helvetica" w:asciiTheme="minorEastAsia" w:hAnsiTheme="minorEastAsia" w:eastAsiaTheme="minorEastAsia"/>
          <w:b/>
          <w:sz w:val="32"/>
          <w:szCs w:val="32"/>
        </w:rPr>
      </w:pPr>
      <w:r>
        <w:rPr>
          <w:rFonts w:cs="Helvetica" w:asciiTheme="minorEastAsia" w:hAnsiTheme="minorEastAsia" w:eastAsiaTheme="minorEastAsia"/>
          <w:b/>
          <w:sz w:val="32"/>
          <w:szCs w:val="32"/>
        </w:rPr>
        <w:t>教师队伍建设改革的意见</w:t>
      </w:r>
    </w:p>
    <w:p>
      <w:pPr>
        <w:pStyle w:val="10"/>
        <w:spacing w:before="0" w:beforeAutospacing="0" w:after="225" w:afterAutospacing="0" w:line="560" w:lineRule="exact"/>
        <w:jc w:val="center"/>
        <w:rPr>
          <w:rFonts w:cs="Helvetica" w:asciiTheme="minorEastAsia" w:hAnsiTheme="minorEastAsia" w:eastAsiaTheme="minorEastAsia"/>
          <w:b/>
          <w:sz w:val="28"/>
          <w:szCs w:val="28"/>
        </w:rPr>
      </w:pPr>
      <w:r>
        <w:rPr>
          <w:rFonts w:cs="Helvetica" w:asciiTheme="minorEastAsia" w:hAnsiTheme="minorEastAsia" w:eastAsiaTheme="minorEastAsia"/>
          <w:b/>
          <w:sz w:val="28"/>
          <w:szCs w:val="28"/>
        </w:rPr>
        <w:t>（2018年1月20日）</w:t>
      </w:r>
    </w:p>
    <w:p>
      <w:pPr>
        <w:pStyle w:val="10"/>
        <w:spacing w:before="0" w:beforeAutospacing="0" w:after="0" w:afterAutospacing="0" w:line="560" w:lineRule="exact"/>
        <w:rPr>
          <w:rFonts w:cs="Helvetica" w:asciiTheme="minorEastAsia" w:hAnsiTheme="minorEastAsia" w:eastAsiaTheme="minorEastAsia"/>
        </w:rPr>
      </w:pPr>
      <w:r>
        <w:rPr>
          <w:rFonts w:ascii="Helvetica" w:hAnsi="Helvetica" w:cs="Helvetica"/>
          <w:color w:val="404040"/>
          <w:sz w:val="27"/>
          <w:szCs w:val="27"/>
        </w:rPr>
        <w:t>　</w:t>
      </w:r>
      <w:r>
        <w:rPr>
          <w:rFonts w:cs="Helvetica" w:asciiTheme="minorEastAsia" w:hAnsiTheme="minorEastAsia" w:eastAsiaTheme="minorEastAsia"/>
        </w:rPr>
        <w:t>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Style w:val="12"/>
          <w:rFonts w:cs="Helvetica" w:asciiTheme="minorEastAsia" w:hAnsiTheme="minorEastAsia" w:eastAsiaTheme="minorEastAsia"/>
        </w:rPr>
        <w:t>一、坚持兴国必先强师，深刻认识教师队伍建设的重要意义和总体要求</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3.基本原则</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——强化保障。坚持教育优先发展战略，把教师工作置于教育事业发展的重点支持战略领域，优先谋划教师工作，优先保障教师工作投入，优先满足教师队伍建设需要。</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——深化改革。抓住关键环节，优化顶层设计，推动实践探索，破解发展瓶颈，把管理体制改革与机制创新作为突破口，把提高教师地位待遇作为真招实招，增强教师职业吸引力。</w:t>
      </w:r>
    </w:p>
    <w:p>
      <w:pPr>
        <w:pStyle w:val="10"/>
        <w:spacing w:before="0" w:beforeAutospacing="0" w:after="225" w:afterAutospacing="0" w:line="360" w:lineRule="auto"/>
        <w:rPr>
          <w:rFonts w:cs="Helvetica" w:asciiTheme="minorEastAsia" w:hAnsiTheme="minorEastAsia" w:eastAsiaTheme="minorEastAsia"/>
        </w:rPr>
      </w:pPr>
      <w:r>
        <w:rPr>
          <w:rFonts w:cs="Helvetica" w:asciiTheme="minorEastAsia" w:hAnsiTheme="minorEastAsia" w:eastAsiaTheme="minorEastAsia"/>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10"/>
        <w:spacing w:before="0" w:beforeAutospacing="0" w:after="0" w:afterAutospacing="0" w:line="360" w:lineRule="auto"/>
        <w:rPr>
          <w:rFonts w:cs="Helvetica" w:asciiTheme="minorEastAsia" w:hAnsiTheme="minorEastAsia" w:eastAsiaTheme="minorEastAsia"/>
          <w:b/>
        </w:rPr>
      </w:pPr>
      <w:r>
        <w:rPr>
          <w:bCs/>
        </w:rPr>
        <w:t>　　</w:t>
      </w:r>
      <w:r>
        <w:rPr>
          <w:b/>
          <w:bCs/>
        </w:rPr>
        <w:t>二、着力提升思想政治素质，全面加强师德师风建设</w:t>
      </w:r>
    </w:p>
    <w:p>
      <w:pPr>
        <w:pStyle w:val="10"/>
        <w:spacing w:before="0" w:beforeAutospacing="0" w:after="0" w:afterAutospacing="0" w:line="360" w:lineRule="auto"/>
        <w:rPr>
          <w:bCs/>
        </w:rPr>
      </w:pPr>
      <w:r>
        <w:rPr>
          <w:rFonts w:cs="Helvetica" w:asciiTheme="minorEastAsia" w:hAnsiTheme="minorEastAsia" w:eastAsiaTheme="minorEastAsia"/>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w:t>
      </w:r>
      <w:r>
        <w:rPr>
          <w:bCs/>
        </w:rPr>
        <w:t>骨干的“双培养”机制。</w:t>
      </w:r>
    </w:p>
    <w:p>
      <w:pPr>
        <w:pStyle w:val="10"/>
        <w:spacing w:before="0" w:beforeAutospacing="0" w:after="0" w:afterAutospacing="0" w:line="360" w:lineRule="auto"/>
        <w:rPr>
          <w:rFonts w:cs="Helvetica" w:asciiTheme="minorEastAsia" w:hAnsiTheme="minorEastAsia" w:eastAsiaTheme="minorEastAsia"/>
        </w:rPr>
      </w:pPr>
      <w:r>
        <w:rPr>
          <w:bCs/>
        </w:rPr>
        <w:t>　　配齐建强高等学校思想政治工作队伍和党务工作队伍，完善选拔、培养、激</w:t>
      </w:r>
      <w:r>
        <w:rPr>
          <w:rFonts w:cs="Helvetica" w:asciiTheme="minorEastAsia" w:hAnsiTheme="minorEastAsia" w:eastAsiaTheme="minorEastAsia"/>
        </w:rPr>
        <w:t>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10"/>
        <w:spacing w:before="0" w:beforeAutospacing="0" w:after="0" w:afterAutospacing="0" w:line="360" w:lineRule="auto"/>
        <w:rPr>
          <w:bCs/>
        </w:rPr>
      </w:pPr>
      <w:r>
        <w:rPr>
          <w:rFonts w:cs="Helvetica" w:asciiTheme="minorEastAsia" w:hAnsiTheme="minorEastAsia" w:eastAsiaTheme="minorEastAsia"/>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w:t>
      </w:r>
      <w:r>
        <w:rPr>
          <w:bCs/>
        </w:rPr>
        <w:t>中国大地，办好中国教育。</w:t>
      </w:r>
    </w:p>
    <w:p>
      <w:pPr>
        <w:pStyle w:val="10"/>
        <w:spacing w:before="0" w:beforeAutospacing="0" w:after="0" w:afterAutospacing="0" w:line="360" w:lineRule="auto"/>
        <w:rPr>
          <w:rFonts w:cs="Helvetica" w:asciiTheme="minorEastAsia" w:hAnsiTheme="minorEastAsia" w:eastAsiaTheme="minorEastAsia"/>
        </w:rPr>
      </w:pPr>
      <w:r>
        <w:rPr>
          <w:bCs/>
        </w:rPr>
        <w:t>　　加强中华优秀传统文化和革命文化、社会主义先进文化教育，弘扬爱国主义</w:t>
      </w:r>
      <w:r>
        <w:rPr>
          <w:rFonts w:cs="Helvetica" w:asciiTheme="minorEastAsia" w:hAnsiTheme="minorEastAsia" w:eastAsiaTheme="minorEastAsia"/>
        </w:rPr>
        <w:t>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10"/>
        <w:spacing w:before="0" w:beforeAutospacing="0" w:after="0" w:afterAutospacing="0" w:line="360" w:lineRule="auto"/>
        <w:rPr>
          <w:bCs/>
        </w:rPr>
      </w:pPr>
      <w:r>
        <w:rPr>
          <w:rFonts w:cs="Helvetica" w:asciiTheme="minorEastAsia" w:hAnsiTheme="minorEastAsia" w:eastAsiaTheme="minorEastAsia"/>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w:t>
      </w:r>
      <w:r>
        <w:rPr>
          <w:bCs/>
        </w:rPr>
        <w:t>格、学习知识、创新思维、奉献祖国的引路人。</w:t>
      </w:r>
    </w:p>
    <w:p>
      <w:pPr>
        <w:pStyle w:val="10"/>
        <w:spacing w:before="0" w:beforeAutospacing="0" w:after="0" w:afterAutospacing="0" w:line="360" w:lineRule="auto"/>
        <w:rPr>
          <w:rFonts w:cs="Helvetica" w:asciiTheme="minorEastAsia" w:hAnsiTheme="minorEastAsia" w:eastAsiaTheme="minorEastAsia"/>
        </w:rPr>
      </w:pPr>
      <w:r>
        <w:rPr>
          <w:bCs/>
        </w:rPr>
        <w:t>　　实施师德师风建设工程。开展教师宣传国家重大题材作品立项，推出一批让</w:t>
      </w:r>
      <w:r>
        <w:rPr>
          <w:rFonts w:cs="Helvetica" w:asciiTheme="minorEastAsia" w:hAnsiTheme="minorEastAsia" w:eastAsiaTheme="minorEastAsia"/>
        </w:rPr>
        <w:t>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10"/>
        <w:spacing w:before="0" w:beforeAutospacing="0" w:after="0" w:afterAutospacing="0" w:line="360" w:lineRule="auto"/>
        <w:rPr>
          <w:b/>
          <w:bCs/>
        </w:rPr>
      </w:pPr>
      <w:r>
        <w:rPr>
          <w:rFonts w:cs="Helvetica" w:asciiTheme="minorEastAsia" w:hAnsiTheme="minorEastAsia" w:eastAsiaTheme="minorEastAsia"/>
        </w:rPr>
        <w:t>　</w:t>
      </w:r>
      <w:r>
        <w:t>　</w:t>
      </w:r>
      <w:r>
        <w:rPr>
          <w:b/>
        </w:rPr>
        <w:t>三、大力振兴教师教育，不断提升教师专业素质能力</w:t>
      </w:r>
    </w:p>
    <w:p>
      <w:pPr>
        <w:pStyle w:val="10"/>
        <w:spacing w:before="0" w:beforeAutospacing="0" w:after="0" w:afterAutospacing="0" w:line="360" w:lineRule="auto"/>
        <w:rPr>
          <w:rFonts w:cs="Helvetica" w:asciiTheme="minorEastAsia" w:hAnsiTheme="minorEastAsia" w:eastAsiaTheme="minorEastAsia"/>
        </w:rPr>
      </w:pPr>
      <w:r>
        <w:rPr>
          <w:bCs/>
        </w:rPr>
        <w:t>　　8.加大对师范院校支持力度。实施教师教育振兴行动计划，建立以师范院校</w:t>
      </w:r>
      <w:r>
        <w:rPr>
          <w:rFonts w:cs="Helvetica" w:asciiTheme="minorEastAsia" w:hAnsiTheme="minorEastAsia" w:eastAsiaTheme="minorEastAsia"/>
        </w:rPr>
        <w:t>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w:t>
      </w:r>
      <w:r>
        <w:rPr>
          <w:rFonts w:cs="Helvetica" w:asciiTheme="minorEastAsia" w:hAnsiTheme="minorEastAsia" w:eastAsiaTheme="minorEastAsia"/>
          <w:u w:val="single"/>
        </w:rPr>
        <w:t>教育硕士、</w:t>
      </w:r>
      <w:r>
        <w:rPr>
          <w:rFonts w:cs="Helvetica" w:asciiTheme="minorEastAsia" w:hAnsiTheme="minorEastAsia" w:eastAsiaTheme="minorEastAsia"/>
        </w:rPr>
        <w:t>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10"/>
        <w:spacing w:before="0" w:beforeAutospacing="0" w:after="0" w:afterAutospacing="0" w:line="360" w:lineRule="auto"/>
      </w:pPr>
      <w:r>
        <w:rPr>
          <w:rFonts w:cs="Helvetica" w:asciiTheme="minorEastAsia" w:hAnsiTheme="minorEastAsia" w:eastAsiaTheme="minorEastAsia"/>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w:t>
      </w:r>
      <w:r>
        <w:t>能力突出、教育情怀深厚的高素质复合型教师。</w:t>
      </w:r>
    </w:p>
    <w:p>
      <w:pPr>
        <w:pStyle w:val="10"/>
        <w:spacing w:before="0" w:beforeAutospacing="0" w:after="0" w:afterAutospacing="0" w:line="360" w:lineRule="auto"/>
        <w:rPr>
          <w:rFonts w:cs="Helvetica" w:asciiTheme="minorEastAsia" w:hAnsiTheme="minorEastAsia" w:eastAsiaTheme="minorEastAsia"/>
        </w:rPr>
      </w:pPr>
      <w:r>
        <w:t>　　10.全面提高中小学教师质量，建设一支高素质专业化的教师队伍。提高教</w:t>
      </w:r>
      <w:r>
        <w:rPr>
          <w:rFonts w:cs="Helvetica" w:asciiTheme="minorEastAsia" w:hAnsiTheme="minorEastAsia" w:eastAsiaTheme="minorEastAsia"/>
        </w:rPr>
        <w:t>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10"/>
        <w:spacing w:before="0" w:beforeAutospacing="0" w:after="0" w:afterAutospacing="0" w:line="360" w:lineRule="auto"/>
      </w:pPr>
      <w:r>
        <w:rPr>
          <w:rFonts w:cs="Helvetica" w:asciiTheme="minorEastAsia" w:hAnsiTheme="minorEastAsia" w:eastAsiaTheme="minorEastAsia"/>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w:t>
      </w:r>
      <w:r>
        <w:t>能力。</w:t>
      </w:r>
    </w:p>
    <w:p>
      <w:pPr>
        <w:pStyle w:val="10"/>
        <w:spacing w:before="0" w:beforeAutospacing="0" w:after="0" w:afterAutospacing="0" w:line="360" w:lineRule="auto"/>
      </w:pPr>
      <w:r>
        <w:t>　　建立幼儿园教师全员培训制度，切实提升幼儿园教师科学保教能力。加大幼</w:t>
      </w:r>
      <w:r>
        <w:rPr>
          <w:rFonts w:cs="Helvetica" w:asciiTheme="minorEastAsia" w:hAnsiTheme="minorEastAsia" w:eastAsiaTheme="minorEastAsia"/>
        </w:rPr>
        <w:t>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w:t>
      </w:r>
      <w:r>
        <w:t>地。</w:t>
      </w:r>
    </w:p>
    <w:p>
      <w:pPr>
        <w:pStyle w:val="10"/>
        <w:spacing w:before="0" w:beforeAutospacing="0" w:after="0" w:afterAutospacing="0" w:line="360" w:lineRule="auto"/>
        <w:rPr>
          <w:rFonts w:cs="Helvetica" w:asciiTheme="minorEastAsia" w:hAnsiTheme="minorEastAsia" w:eastAsiaTheme="minorEastAsia"/>
        </w:rPr>
      </w:pPr>
      <w:r>
        <w:t>　　12.全面提高职业院校教师质量，建设一支高素质双师型的教师队伍。继续</w:t>
      </w:r>
      <w:r>
        <w:rPr>
          <w:rFonts w:cs="Helvetica" w:asciiTheme="minorEastAsia" w:hAnsiTheme="minorEastAsia" w:eastAsiaTheme="minorEastAsia"/>
        </w:rPr>
        <w:t>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10"/>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10"/>
        <w:spacing w:before="0" w:beforeAutospacing="0" w:after="0" w:afterAutospacing="0" w:line="360" w:lineRule="auto"/>
        <w:rPr>
          <w:rFonts w:cs="Helvetica" w:asciiTheme="minorEastAsia" w:hAnsiTheme="minorEastAsia" w:eastAsiaTheme="minorEastAsia"/>
          <w:b/>
        </w:rPr>
      </w:pPr>
      <w:r>
        <w:rPr>
          <w:bCs/>
        </w:rPr>
        <w:t>　</w:t>
      </w:r>
      <w:r>
        <w:rPr>
          <w:b/>
          <w:bCs/>
        </w:rPr>
        <w:t>　四、深化教师管理综合改革，切实理顺体制机制</w:t>
      </w:r>
    </w:p>
    <w:p>
      <w:pPr>
        <w:pStyle w:val="10"/>
        <w:spacing w:before="0" w:beforeAutospacing="0" w:after="0" w:afterAutospacing="0" w:line="360" w:lineRule="auto"/>
        <w:rPr>
          <w:bCs/>
        </w:rPr>
      </w:pPr>
      <w:r>
        <w:rPr>
          <w:rFonts w:cs="Helvetica" w:asciiTheme="minorEastAsia" w:hAnsiTheme="minorEastAsia" w:eastAsiaTheme="minorEastAsia"/>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w:t>
      </w:r>
      <w:r>
        <w:rPr>
          <w:bCs/>
        </w:rPr>
        <w:t>发展需求。</w:t>
      </w:r>
    </w:p>
    <w:p>
      <w:pPr>
        <w:pStyle w:val="10"/>
        <w:spacing w:before="0" w:beforeAutospacing="0" w:after="0" w:afterAutospacing="0" w:line="360" w:lineRule="auto"/>
        <w:rPr>
          <w:rFonts w:cs="Helvetica" w:asciiTheme="minorEastAsia" w:hAnsiTheme="minorEastAsia" w:eastAsiaTheme="minorEastAsia"/>
        </w:rPr>
      </w:pPr>
      <w:r>
        <w:rPr>
          <w:bCs/>
        </w:rPr>
        <w:t>　　15.优化义务教育教师资源配置。实行义务教育教师“县管校聘”。深入推</w:t>
      </w:r>
      <w:r>
        <w:rPr>
          <w:rFonts w:cs="Helvetica" w:asciiTheme="minorEastAsia" w:hAnsiTheme="minorEastAsia" w:eastAsiaTheme="minorEastAsia"/>
        </w:rPr>
        <w:t>进县域内义务教育学校教师、校长交流轮岗，实行教师聘期制、校长任期制管理，推动城镇优秀教师、校长向乡村学校、薄弱学校流动。实行学区（乡镇）内走教制度，地方政府可根据实际给予相应补贴。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10"/>
        <w:spacing w:before="0" w:beforeAutospacing="0" w:after="0" w:afterAutospacing="0" w:line="360" w:lineRule="auto"/>
        <w:rPr>
          <w:bCs/>
        </w:rPr>
      </w:pPr>
      <w:r>
        <w:rPr>
          <w:rFonts w:cs="Helvetica" w:asciiTheme="minorEastAsia" w:hAnsiTheme="minorEastAsia" w:eastAsiaTheme="minorEastAsia"/>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w:t>
      </w:r>
      <w:r>
        <w:rPr>
          <w:bCs/>
        </w:rPr>
        <w:t>条件和资格，规范选拔任用工作，激发办学治校活力。</w:t>
      </w:r>
    </w:p>
    <w:p>
      <w:pPr>
        <w:pStyle w:val="10"/>
        <w:spacing w:before="0" w:beforeAutospacing="0" w:after="0" w:afterAutospacing="0" w:line="360" w:lineRule="auto"/>
        <w:rPr>
          <w:rFonts w:cs="Helvetica" w:asciiTheme="minorEastAsia" w:hAnsiTheme="minorEastAsia" w:eastAsiaTheme="minorEastAsia"/>
        </w:rPr>
      </w:pPr>
      <w:r>
        <w:rPr>
          <w:bCs/>
        </w:rPr>
        <w:t>　　17.深化中小学教师职称和考核评价制度改革。适当提高中小学中级、高级</w:t>
      </w:r>
      <w:r>
        <w:rPr>
          <w:rFonts w:cs="Helvetica" w:asciiTheme="minorEastAsia" w:hAnsiTheme="minorEastAsia" w:eastAsiaTheme="minorEastAsia"/>
        </w:rPr>
        <w:t>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10"/>
        <w:spacing w:before="0" w:beforeAutospacing="0" w:after="0" w:afterAutospacing="0" w:line="360" w:lineRule="auto"/>
        <w:rPr>
          <w:bCs/>
        </w:rPr>
      </w:pPr>
      <w:r>
        <w:rPr>
          <w:rFonts w:cs="Helvetica" w:asciiTheme="minorEastAsia" w:hAnsiTheme="minorEastAsia" w:eastAsiaTheme="minorEastAsia"/>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w:t>
      </w:r>
      <w:r>
        <w:rPr>
          <w:bCs/>
        </w:rPr>
        <w:t>核评价要充分体现技能水平和专业教学能力。</w:t>
      </w:r>
    </w:p>
    <w:p>
      <w:pPr>
        <w:pStyle w:val="10"/>
        <w:spacing w:before="0" w:beforeAutospacing="0" w:after="0" w:afterAutospacing="0" w:line="360" w:lineRule="auto"/>
        <w:rPr>
          <w:rFonts w:cs="Helvetica" w:asciiTheme="minorEastAsia" w:hAnsiTheme="minorEastAsia" w:eastAsiaTheme="minorEastAsia"/>
        </w:rPr>
      </w:pPr>
      <w:r>
        <w:rPr>
          <w:bCs/>
        </w:rPr>
        <w:t>　　19.深化高等学校教师人事制度改革。积极探索实行高等学校人员总量管理。</w:t>
      </w:r>
      <w:r>
        <w:rPr>
          <w:rFonts w:cs="Helvetica" w:asciiTheme="minorEastAsia" w:hAnsiTheme="minorEastAsia" w:eastAsiaTheme="minorEastAsia"/>
        </w:rPr>
        <w:t>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10"/>
        <w:spacing w:before="0" w:beforeAutospacing="0" w:after="0" w:afterAutospacing="0" w:line="360" w:lineRule="auto"/>
        <w:rPr>
          <w:b/>
          <w:bCs/>
        </w:rPr>
      </w:pPr>
      <w:r>
        <w:rPr>
          <w:rFonts w:cs="Helvetica" w:asciiTheme="minorEastAsia" w:hAnsiTheme="minorEastAsia" w:eastAsiaTheme="minorEastAsia"/>
        </w:rPr>
        <w:t>　</w:t>
      </w:r>
      <w:r>
        <w:rPr>
          <w:rStyle w:val="12"/>
          <w:rFonts w:cs="Helvetica" w:asciiTheme="minorEastAsia" w:hAnsiTheme="minorEastAsia" w:eastAsiaTheme="minorEastAsia"/>
          <w:b w:val="0"/>
        </w:rPr>
        <w:t>　</w:t>
      </w:r>
      <w:r>
        <w:rPr>
          <w:b/>
        </w:rPr>
        <w:t>五、不断提高地位待遇，真正让教师成为令人羡慕的职业</w:t>
      </w:r>
    </w:p>
    <w:p>
      <w:pPr>
        <w:pStyle w:val="10"/>
        <w:spacing w:before="0" w:beforeAutospacing="0" w:after="0" w:afterAutospacing="0" w:line="360" w:lineRule="auto"/>
        <w:rPr>
          <w:rFonts w:cs="Helvetica" w:asciiTheme="minorEastAsia" w:hAnsiTheme="minorEastAsia" w:eastAsiaTheme="minorEastAsia"/>
        </w:rPr>
      </w:pPr>
      <w:r>
        <w:rPr>
          <w:bCs/>
        </w:rPr>
        <w:t>　　20.明确教师的特别重要地位。突显教师职业的公共属性，强化教师承担的</w:t>
      </w:r>
      <w:r>
        <w:rPr>
          <w:rFonts w:cs="Helvetica" w:asciiTheme="minorEastAsia" w:hAnsiTheme="minorEastAsia" w:eastAsiaTheme="minorEastAsia"/>
        </w:rPr>
        <w:t>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10"/>
        <w:spacing w:before="0" w:beforeAutospacing="0" w:after="0" w:afterAutospacing="0" w:line="360" w:lineRule="auto"/>
      </w:pPr>
      <w:r>
        <w:rPr>
          <w:rFonts w:cs="Helvetica" w:asciiTheme="minorEastAsia" w:hAnsiTheme="minorEastAsia" w:eastAsiaTheme="minorEastAsia"/>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w:t>
      </w:r>
      <w:r>
        <w:t>斜。实行中小学校长职级制的地区，根据实际实施相应的校长收入分配办法。</w:t>
      </w:r>
    </w:p>
    <w:p>
      <w:pPr>
        <w:pStyle w:val="10"/>
        <w:spacing w:before="0" w:beforeAutospacing="0" w:after="0" w:afterAutospacing="0" w:line="360" w:lineRule="auto"/>
      </w:pPr>
      <w:r>
        <w:t>　　22.大力提升乡村教师待遇。深入实施乡村教师支持计划，关心乡村教师生</w:t>
      </w:r>
      <w:r>
        <w:rPr>
          <w:rFonts w:cs="Helvetica" w:asciiTheme="minorEastAsia" w:hAnsiTheme="minorEastAsia" w:eastAsiaTheme="minorEastAsia"/>
        </w:rPr>
        <w:t>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w:t>
      </w:r>
      <w:r>
        <w:t>活。</w:t>
      </w:r>
    </w:p>
    <w:p>
      <w:pPr>
        <w:pStyle w:val="10"/>
        <w:spacing w:before="0" w:beforeAutospacing="0" w:after="0" w:afterAutospacing="0" w:line="360" w:lineRule="auto"/>
        <w:rPr>
          <w:rFonts w:cs="Helvetica" w:asciiTheme="minorEastAsia" w:hAnsiTheme="minorEastAsia" w:eastAsiaTheme="minorEastAsia"/>
        </w:rPr>
      </w:pPr>
      <w:r>
        <w:t>　　23.维护民办学校教师权益。完善学校、个人、政府合理分担的民办学校教</w:t>
      </w:r>
      <w:r>
        <w:rPr>
          <w:rFonts w:cs="Helvetica" w:asciiTheme="minorEastAsia" w:hAnsiTheme="minorEastAsia" w:eastAsiaTheme="minorEastAsia"/>
        </w:rPr>
        <w:t>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10"/>
        <w:spacing w:before="0" w:beforeAutospacing="0" w:after="0" w:afterAutospacing="0" w:line="360" w:lineRule="auto"/>
      </w:pPr>
      <w:r>
        <w:rPr>
          <w:rFonts w:cs="Helvetica" w:asciiTheme="minorEastAsia" w:hAnsiTheme="minorEastAsia" w:eastAsiaTheme="minorEastAsia"/>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w:t>
      </w:r>
      <w:r>
        <w:t>型名师的岗位激励力度。</w:t>
      </w:r>
    </w:p>
    <w:p>
      <w:pPr>
        <w:pStyle w:val="10"/>
        <w:spacing w:before="0" w:beforeAutospacing="0" w:after="0" w:afterAutospacing="0" w:line="360" w:lineRule="auto"/>
        <w:rPr>
          <w:rFonts w:cs="Helvetica" w:asciiTheme="minorEastAsia" w:hAnsiTheme="minorEastAsia" w:eastAsiaTheme="minorEastAsia"/>
        </w:rPr>
      </w:pPr>
      <w:r>
        <w:t>　　25.提升教师社会地位。加大教师表彰力度。大力宣传教师中的“时代楷模”</w:t>
      </w:r>
      <w:r>
        <w:rPr>
          <w:rFonts w:cs="Helvetica" w:asciiTheme="minorEastAsia" w:hAnsiTheme="minorEastAsia" w:eastAsiaTheme="minorEastAsia"/>
        </w:rPr>
        <w:t>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10"/>
        <w:spacing w:before="0" w:beforeAutospacing="0" w:after="0" w:afterAutospacing="0" w:line="360" w:lineRule="auto"/>
      </w:pPr>
      <w:r>
        <w:rPr>
          <w:rFonts w:cs="Helvetica" w:asciiTheme="minorEastAsia" w:hAnsiTheme="minorEastAsia" w:eastAsiaTheme="minorEastAsia"/>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w:t>
      </w:r>
      <w:r>
        <w:t>心教师身心健康，克服职业倦怠，激发工作热情。</w:t>
      </w:r>
    </w:p>
    <w:p>
      <w:pPr>
        <w:pStyle w:val="10"/>
        <w:spacing w:before="0" w:beforeAutospacing="0" w:after="0" w:afterAutospacing="0" w:line="360" w:lineRule="auto"/>
        <w:rPr>
          <w:b/>
        </w:rPr>
      </w:pPr>
      <w:r>
        <w:t>　　</w:t>
      </w:r>
      <w:r>
        <w:rPr>
          <w:b/>
          <w:bCs/>
        </w:rPr>
        <w:t>六、切实加强党的领导，全力确保政策举措落地见效</w:t>
      </w:r>
    </w:p>
    <w:p>
      <w:pPr>
        <w:pStyle w:val="10"/>
        <w:spacing w:before="0" w:beforeAutospacing="0" w:after="0" w:afterAutospacing="0" w:line="360" w:lineRule="auto"/>
        <w:rPr>
          <w:rFonts w:cs="Helvetica" w:asciiTheme="minorEastAsia" w:hAnsiTheme="minorEastAsia" w:eastAsiaTheme="minorEastAsia"/>
        </w:rPr>
      </w:pPr>
      <w:r>
        <w:t>　　26.强化组织保障。各级党委和政府要满腔热情关心教师，充分信任、紧紧</w:t>
      </w:r>
      <w:r>
        <w:rPr>
          <w:rFonts w:cs="Helvetica" w:asciiTheme="minorEastAsia" w:hAnsiTheme="minorEastAsia" w:eastAsiaTheme="minorEastAsia"/>
        </w:rPr>
        <w:t>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10"/>
        <w:spacing w:before="0" w:beforeAutospacing="0" w:after="225" w:afterAutospacing="0" w:line="360" w:lineRule="auto"/>
        <w:rPr>
          <w:rFonts w:cs="Helvetica" w:asciiTheme="minorEastAsia" w:hAnsiTheme="minorEastAsia" w:eastAsiaTheme="minorEastAsia"/>
        </w:rPr>
      </w:pPr>
      <w:r>
        <w:rPr>
          <w:rFonts w:cs="Helvetica" w:asciiTheme="minorEastAsia" w:hAnsiTheme="minorEastAsia" w:eastAsiaTheme="minorEastAsia"/>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pPr>
        <w:pStyle w:val="10"/>
        <w:spacing w:before="0" w:beforeAutospacing="0" w:after="0" w:afterAutospacing="0" w:line="360" w:lineRule="auto"/>
        <w:rPr>
          <w:rFonts w:asciiTheme="minorEastAsia" w:hAnsiTheme="minorEastAsia" w:eastAsiaTheme="minorEastAsia"/>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教师教育振兴行动计划</w:t>
      </w:r>
      <w:r>
        <w:rPr>
          <w:rFonts w:hint="eastAsia" w:asciiTheme="minorEastAsia" w:hAnsiTheme="minorEastAsia"/>
          <w:b/>
          <w:sz w:val="32"/>
          <w:szCs w:val="32"/>
        </w:rPr>
        <w:t>（2018—2022年）</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教师〔2018〕2号</w:t>
      </w:r>
    </w:p>
    <w:p>
      <w:pPr>
        <w:spacing w:line="560" w:lineRule="exact"/>
        <w:jc w:val="center"/>
        <w:rPr>
          <w:rFonts w:asciiTheme="majorEastAsia" w:hAnsiTheme="majorEastAsia" w:eastAsiaTheme="majorEastAsia"/>
          <w:b/>
          <w:sz w:val="30"/>
          <w:szCs w:val="30"/>
        </w:rPr>
      </w:pPr>
    </w:p>
    <w:p>
      <w:pPr>
        <w:spacing w:line="360" w:lineRule="auto"/>
        <w:rPr>
          <w:rFonts w:asciiTheme="minorEastAsia" w:hAnsiTheme="minorEastAsia"/>
          <w:sz w:val="24"/>
          <w:szCs w:val="24"/>
        </w:rPr>
      </w:pPr>
      <w:r>
        <w:rPr>
          <w:rFonts w:hint="eastAsia" w:asciiTheme="minorEastAsia" w:hAnsiTheme="minorEastAsia"/>
          <w:sz w:val="24"/>
          <w:szCs w:val="24"/>
        </w:rPr>
        <w:t>　　教师教育是教育事业的工作母机，是提升教育质量的动力源泉。为深入认真贯彻习近平新时代中国特色社会主义思想和党的十九大精神，根据《中共中央 国务院关于全面深化新时代教师队伍建设改革的意见》（中发〔2018〕4号）的决策部署，按照国民经济和社会发展第十三个五年规划纲要及国家教育事业发展“十三五”规划工作要求，采取切实措施建强做优教师教育，推动教师教育改革发展，全面提升教师素质能力，努力建设一支高素质专业化创新型教师队伍，特制定教师教育振兴行动计划。</w:t>
      </w:r>
    </w:p>
    <w:p>
      <w:pPr>
        <w:spacing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xml:space="preserve">　一、指导思想 </w:t>
      </w:r>
    </w:p>
    <w:p>
      <w:pPr>
        <w:spacing w:line="360" w:lineRule="auto"/>
        <w:rPr>
          <w:rFonts w:asciiTheme="minorEastAsia" w:hAnsiTheme="minorEastAsia"/>
          <w:sz w:val="24"/>
          <w:szCs w:val="24"/>
        </w:rPr>
      </w:pPr>
      <w:r>
        <w:rPr>
          <w:rFonts w:hint="eastAsia" w:asciiTheme="minorEastAsia" w:hAnsiTheme="minorEastAsia"/>
          <w:sz w:val="24"/>
          <w:szCs w:val="24"/>
        </w:rPr>
        <w:t>　　以习近平新时代中国特色社会主义思想为指导，全面学习贯彻党的十九大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pPr>
        <w:spacing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xml:space="preserve">　二、目标任务 </w:t>
      </w:r>
    </w:p>
    <w:p>
      <w:pPr>
        <w:spacing w:line="360" w:lineRule="auto"/>
        <w:rPr>
          <w:rFonts w:asciiTheme="minorEastAsia" w:hAnsiTheme="minorEastAsia"/>
          <w:sz w:val="24"/>
          <w:szCs w:val="24"/>
        </w:rPr>
      </w:pPr>
      <w:r>
        <w:rPr>
          <w:rFonts w:hint="eastAsia" w:asciiTheme="minorEastAsia" w:hAnsiTheme="minorEastAsia"/>
          <w:sz w:val="24"/>
          <w:szCs w:val="24"/>
        </w:rPr>
        <w:t>　　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pPr>
        <w:spacing w:line="360" w:lineRule="auto"/>
        <w:rPr>
          <w:rFonts w:asciiTheme="minorEastAsia" w:hAnsiTheme="minorEastAsia"/>
          <w:sz w:val="24"/>
          <w:szCs w:val="24"/>
        </w:rPr>
      </w:pPr>
      <w:r>
        <w:rPr>
          <w:rFonts w:hint="eastAsia" w:asciiTheme="minorEastAsia" w:hAnsiTheme="minorEastAsia"/>
          <w:sz w:val="24"/>
          <w:szCs w:val="24"/>
        </w:rPr>
        <w:t>　　——落实师德教育新要求，增强师德教育实效性。将学习贯彻习近平总书记对教师的殷切希望和要求作为教师师德教育的首要任务和重点内容。加强师德养成教育，用“四有好老师”标准、“四个引路人”、“四个相统一”和“四个服务”等要求，统领教师成长发展，细化落实到教师教育课程，引导教师以德立身、以德立学、以德施教、以德育德。</w:t>
      </w:r>
    </w:p>
    <w:p>
      <w:pPr>
        <w:spacing w:line="360" w:lineRule="auto"/>
        <w:rPr>
          <w:rFonts w:asciiTheme="minorEastAsia" w:hAnsiTheme="minorEastAsia"/>
          <w:sz w:val="24"/>
          <w:szCs w:val="24"/>
        </w:rPr>
      </w:pPr>
      <w:r>
        <w:rPr>
          <w:rFonts w:hint="eastAsia" w:asciiTheme="minorEastAsia" w:hAnsiTheme="minorEastAsia"/>
          <w:sz w:val="24"/>
          <w:szCs w:val="24"/>
        </w:rPr>
        <w:t>　　——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精湛实践技能的“双师型”专业课教师，为幼儿园培养一大批关爱幼儿、擅长保教的学前教育专业专科以上学历教师，教师培养规格层次满足保障国民教育和创新人才培养的需要。</w:t>
      </w:r>
    </w:p>
    <w:p>
      <w:pPr>
        <w:spacing w:line="360" w:lineRule="auto"/>
        <w:rPr>
          <w:rFonts w:asciiTheme="minorEastAsia" w:hAnsiTheme="minorEastAsia"/>
          <w:sz w:val="24"/>
          <w:szCs w:val="24"/>
        </w:rPr>
      </w:pPr>
      <w:r>
        <w:rPr>
          <w:rFonts w:hint="eastAsia" w:asciiTheme="minorEastAsia" w:hAnsiTheme="minorEastAsia"/>
          <w:sz w:val="24"/>
          <w:szCs w:val="24"/>
        </w:rPr>
        <w:t>　　——改善教师资源供给，促进教育公平发展。加强中西部地区和乡村学校教师培养，重点为边远、贫困、民族地区教育精准扶贫提供师资保障。支持中西部地区提升师范专业办学能力。推进本土化培养，面向师资补充困难地区逐步扩大乡村教师公费定向培养规模，为乡村学校培养 “下得去、留得住、教得好、有发展”的合格教师。建立健全乡村教师成长发展的支持服务体系，高质量开展乡村教师全员培训，培训的针对性和实效性不断提高。</w:t>
      </w:r>
    </w:p>
    <w:p>
      <w:pPr>
        <w:spacing w:line="360" w:lineRule="auto"/>
        <w:rPr>
          <w:rFonts w:asciiTheme="minorEastAsia" w:hAnsiTheme="minorEastAsia"/>
          <w:sz w:val="24"/>
          <w:szCs w:val="24"/>
        </w:rPr>
      </w:pPr>
      <w:r>
        <w:rPr>
          <w:rFonts w:hint="eastAsia" w:asciiTheme="minorEastAsia" w:hAnsiTheme="minorEastAsia"/>
          <w:sz w:val="24"/>
          <w:szCs w:val="24"/>
        </w:rPr>
        <w:t>　　——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pPr>
        <w:spacing w:line="360" w:lineRule="auto"/>
        <w:rPr>
          <w:rFonts w:asciiTheme="minorEastAsia" w:hAnsiTheme="minorEastAsia"/>
          <w:sz w:val="24"/>
          <w:szCs w:val="24"/>
        </w:rPr>
      </w:pPr>
      <w:r>
        <w:rPr>
          <w:rFonts w:hint="eastAsia" w:asciiTheme="minorEastAsia" w:hAnsiTheme="minorEastAsia"/>
          <w:sz w:val="24"/>
          <w:szCs w:val="24"/>
        </w:rPr>
        <w:t>　　——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pPr>
        <w:spacing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xml:space="preserve">　三、主要措施 </w:t>
      </w:r>
    </w:p>
    <w:p>
      <w:pPr>
        <w:spacing w:line="360" w:lineRule="auto"/>
        <w:rPr>
          <w:rFonts w:asciiTheme="minorEastAsia" w:hAnsiTheme="minorEastAsia"/>
          <w:sz w:val="24"/>
          <w:szCs w:val="24"/>
        </w:rPr>
      </w:pPr>
      <w:r>
        <w:rPr>
          <w:rFonts w:hint="eastAsia" w:asciiTheme="minorEastAsia" w:hAnsiTheme="minorEastAsia"/>
          <w:sz w:val="24"/>
          <w:szCs w:val="24"/>
        </w:rPr>
        <w:t>　　（一）师德养成教育全面推进行动。研制出台在教师培养培训中加强师德教育的文件和师德修养教师培训课程指导标准。将师德教育贯穿教师教育全过程，作为师范生培养和教师培训课程的必修模块。培育和践行社会主义核心价值观，引导教师全面落实到教育教学实践中。制订教师法治培训大纲，开展法治教育，提升教师法治素养和依法执教能力。在师范生和在职教师中广泛开展中华优秀传统文化教育，注重通过中华优秀传统文化涵养师德，通过经典诵读、开设专门课程、组织专题培训等形式，汲取文化精髓，传承中华师道。将教书育人楷模、一线优秀教师校长请进课堂，采取组织公益支教、志愿服务等方式，着力培育师范生的教师职业认同和社会责任感。借助新闻媒体平台，组织开展师范生“师德第一课”系列活动。每年利用教师节后一周时间开展“师德活动周”活动。发掘师德先进典型，弘扬当代教师风采，大力宣传阳光美丽、爱岗敬业、默默奉献的新时代优秀教师形象。</w:t>
      </w:r>
    </w:p>
    <w:p>
      <w:pPr>
        <w:spacing w:line="360" w:lineRule="auto"/>
        <w:rPr>
          <w:rFonts w:asciiTheme="minorEastAsia" w:hAnsiTheme="minorEastAsia"/>
          <w:sz w:val="24"/>
          <w:szCs w:val="24"/>
        </w:rPr>
      </w:pPr>
      <w:r>
        <w:rPr>
          <w:rFonts w:hint="eastAsia" w:asciiTheme="minorEastAsia" w:hAnsiTheme="minorEastAsia"/>
          <w:sz w:val="24"/>
          <w:szCs w:val="24"/>
        </w:rPr>
        <w:t>　　（二）教师培养层次提升行动。引导支持办好师范类本科专业，加大义务教育阶段学校本科层次教师培养力度。按照有关程序办法，增加一批教育硕士专业学位授权点。引导鼓励有关高校扩大教育硕士招生规模, 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pPr>
        <w:spacing w:line="360" w:lineRule="auto"/>
        <w:rPr>
          <w:rFonts w:asciiTheme="minorEastAsia" w:hAnsiTheme="minorEastAsia"/>
          <w:sz w:val="24"/>
          <w:szCs w:val="24"/>
        </w:rPr>
      </w:pPr>
      <w:r>
        <w:rPr>
          <w:rFonts w:hint="eastAsia" w:asciiTheme="minorEastAsia" w:hAnsiTheme="minorEastAsia"/>
          <w:sz w:val="24"/>
          <w:szCs w:val="24"/>
        </w:rPr>
        <w:t>　　（三）乡村教师素质提高行动。各地要以集中连片特困地区县和国家级贫困县为重点，通过公费定向培养、到岗退费等多种方式，为乡村小学培养补充全科教师，为乡村初中培养补充“一专多能”教师，优先满足老少边穷岛等边远贫困地区教师补充需要。加大紧缺薄弱学科教师和民族地区双语教师培养力度。加强县区乡村教师专业发展支持服务体系建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国培计划”集中支持中西部乡村教师校长培训。</w:t>
      </w:r>
    </w:p>
    <w:p>
      <w:pPr>
        <w:spacing w:line="360" w:lineRule="auto"/>
        <w:rPr>
          <w:rFonts w:asciiTheme="minorEastAsia" w:hAnsiTheme="minorEastAsia"/>
          <w:sz w:val="24"/>
          <w:szCs w:val="24"/>
        </w:rPr>
      </w:pPr>
      <w:r>
        <w:rPr>
          <w:rFonts w:hint="eastAsia" w:asciiTheme="minorEastAsia" w:hAnsiTheme="minorEastAsia"/>
          <w:sz w:val="24"/>
          <w:szCs w:val="24"/>
        </w:rPr>
        <w:t>　　（四）师范生生源质量改善行动。依法保障和提高教师的地位待遇，通过多种方式吸引优质生源报考师范专业。改进完善教育部直属师范大学师范生免费教育政策，将“免费师范生”改称为“公费师范生”，履约任教服务期调整为6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pPr>
        <w:spacing w:line="360" w:lineRule="auto"/>
        <w:rPr>
          <w:rFonts w:asciiTheme="minorEastAsia" w:hAnsiTheme="minorEastAsia"/>
          <w:sz w:val="24"/>
          <w:szCs w:val="24"/>
        </w:rPr>
      </w:pPr>
      <w:r>
        <w:rPr>
          <w:rFonts w:hint="eastAsia" w:asciiTheme="minorEastAsia" w:hAnsiTheme="minorEastAsia"/>
          <w:sz w:val="24"/>
          <w:szCs w:val="24"/>
        </w:rPr>
        <w:t>　　（五）“互联网+教师教育”创新行动。充分利用云计算、大数据、虚拟现实、人工智能等新技术，推进教师教育信息化教学服务平台建设和应用，推动以自主、合作、探究为主要特征的教学方式变革。启动实施教师教育在线开放课程建设计划，遴选认定200门教师教育国家精品在线开放课程，推动在线开放课程广泛应用共享。实施新一周期中小学教师信息技术应用能力提升工程，引领带动中小学教师校长将现代信息技术有效运用于教育教学和学校管理。研究制定师范生信息技术应用能力标准，提高师范生信息素养和信息化教学能力。依托全国教师管理信息系统，加强在职教师培训信息化管理，建设教师专业发展“学分银行”。</w:t>
      </w:r>
    </w:p>
    <w:p>
      <w:pPr>
        <w:spacing w:line="360" w:lineRule="auto"/>
        <w:rPr>
          <w:rFonts w:asciiTheme="minorEastAsia" w:hAnsiTheme="minorEastAsia"/>
          <w:sz w:val="24"/>
          <w:szCs w:val="24"/>
        </w:rPr>
      </w:pPr>
      <w:r>
        <w:rPr>
          <w:rFonts w:hint="eastAsia" w:asciiTheme="minorEastAsia" w:hAnsiTheme="minorEastAsia"/>
          <w:sz w:val="24"/>
          <w:szCs w:val="24"/>
        </w:rPr>
        <w:t>　　（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卓越教师培养计划”，建设一流师范院校和一流师范专业，分类推进教师培养模式改革。推动实践导向的教师教育课程内容改革和以师范生为中心的教学方法变革。发挥“国培计划”示范引领作用，加强教师培训需求诊断，优化培训内容，推动信息技术与教师培训的有机融合，实行线上线下相结合的混合式培训。实施新一周期职业院校教师素质提高计划，引领带动高层次“双师型”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pPr>
        <w:spacing w:line="360" w:lineRule="auto"/>
        <w:rPr>
          <w:rFonts w:asciiTheme="minorEastAsia" w:hAnsiTheme="minorEastAsia"/>
          <w:sz w:val="24"/>
          <w:szCs w:val="24"/>
        </w:rPr>
      </w:pPr>
      <w:r>
        <w:rPr>
          <w:rFonts w:hint="eastAsia" w:asciiTheme="minorEastAsia" w:hAnsiTheme="minorEastAsia"/>
          <w:sz w:val="24"/>
          <w:szCs w:val="24"/>
        </w:rPr>
        <w:t>　　（七）高水平教师教育基地建设行动。综合考虑区域布局、层次结构、师范生招生规模、校内教师教育资源整合、办学水平等因素，重点建设一批师范教育基地，发挥高水平、有特色教师教育院校的示范引领作用。加强教师教育院校师范生教育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pPr>
        <w:spacing w:line="360" w:lineRule="auto"/>
        <w:rPr>
          <w:rFonts w:asciiTheme="minorEastAsia" w:hAnsiTheme="minorEastAsia"/>
          <w:sz w:val="24"/>
          <w:szCs w:val="24"/>
        </w:rPr>
      </w:pPr>
      <w:r>
        <w:rPr>
          <w:rFonts w:hint="eastAsia" w:asciiTheme="minorEastAsia" w:hAnsiTheme="minorEastAsia"/>
          <w:sz w:val="24"/>
          <w:szCs w:val="24"/>
        </w:rPr>
        <w:t>　　（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论教师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与企业采取双向挂职、兼职等方式，建立教师教育师资共同体。实施骨干培训者队伍建设工程，开展万名专兼职教师培训者培训能力提升专项培训。组建中小学名师工作室、特级教师流动站、企业导师人才库，充分发挥教研员、学科带头人、特级教师、高技能人才在师范生培养和在职教师常态化研修中的重要作用。</w:t>
      </w:r>
    </w:p>
    <w:p>
      <w:pPr>
        <w:spacing w:line="360" w:lineRule="auto"/>
        <w:rPr>
          <w:rFonts w:asciiTheme="minorEastAsia" w:hAnsiTheme="minorEastAsia"/>
          <w:sz w:val="24"/>
          <w:szCs w:val="24"/>
        </w:rPr>
      </w:pPr>
      <w:r>
        <w:rPr>
          <w:rFonts w:hint="eastAsia" w:asciiTheme="minorEastAsia" w:hAnsiTheme="minorEastAsia"/>
          <w:sz w:val="24"/>
          <w:szCs w:val="24"/>
        </w:rPr>
        <w:t>　　（九）教师教育学科专业建设行动。建立健全教师教育本专科和研究生培养的学科专业体系。鼓励支持有条件的高校自主设置“教师教育学”二级学科，国家定期公布高校在教育学一级学科设立“教师教育学”二级学科情况，加强教师教育的学术研究和人才培养。明确教育实践的目标任务，构建全方位教育实践内容体系，与基础教育、职业教育课程教学改革相衔接，强化“三字一话”等师范生教学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pPr>
        <w:spacing w:line="360" w:lineRule="auto"/>
        <w:rPr>
          <w:rFonts w:asciiTheme="minorEastAsia" w:hAnsiTheme="minorEastAsia"/>
          <w:sz w:val="24"/>
          <w:szCs w:val="24"/>
        </w:rPr>
      </w:pPr>
      <w:r>
        <w:rPr>
          <w:rFonts w:hint="eastAsia" w:asciiTheme="minorEastAsia" w:hAnsiTheme="minorEastAsia"/>
          <w:sz w:val="24"/>
          <w:szCs w:val="24"/>
        </w:rPr>
        <w:t>　　（十）教师教育质量保障体系构建行动。建设全国教师教育基本状态数据库，建立教师培养培训质量监测机制，发布《中国教师教育质量年度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pPr>
        <w:spacing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xml:space="preserve">　四、组织实施 </w:t>
      </w:r>
    </w:p>
    <w:p>
      <w:pPr>
        <w:spacing w:line="360" w:lineRule="auto"/>
        <w:rPr>
          <w:rFonts w:asciiTheme="minorEastAsia" w:hAnsiTheme="minorEastAsia"/>
          <w:sz w:val="24"/>
          <w:szCs w:val="24"/>
        </w:rPr>
      </w:pPr>
      <w:r>
        <w:rPr>
          <w:rFonts w:hint="eastAsia" w:asciiTheme="minorEastAsia" w:hAnsiTheme="minorEastAsia"/>
          <w:sz w:val="24"/>
          <w:szCs w:val="24"/>
        </w:rPr>
        <w:t>　　（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pPr>
        <w:spacing w:line="360" w:lineRule="auto"/>
        <w:rPr>
          <w:rFonts w:asciiTheme="minorEastAsia" w:hAnsiTheme="minorEastAsia"/>
          <w:sz w:val="24"/>
          <w:szCs w:val="24"/>
        </w:rPr>
      </w:pPr>
      <w:r>
        <w:rPr>
          <w:rFonts w:hint="eastAsia" w:asciiTheme="minorEastAsia" w:hAnsiTheme="minorEastAsia"/>
          <w:sz w:val="24"/>
          <w:szCs w:val="24"/>
        </w:rPr>
        <w:t>　　（二）加强经费保障。要加大教师教育财政经费投入力度，提升教师教育保障水平。根据教师教育发展以及财力状况，适时提高师范生生均拨款标准。教师培训经费要列入财政预算。幼儿园、中小学和中等职业学校按照年度公用经费预算总额的5%安排教师培训经费。中央财政通过现行政策和资金渠道对教师教育加大支持力度。在相关重大教育发展项目中将教师培养培训作为资金使用的重要方向。积极争取社会支持，建立多元化筹资渠道。</w:t>
      </w:r>
    </w:p>
    <w:p>
      <w:pPr>
        <w:spacing w:line="360" w:lineRule="auto"/>
        <w:rPr>
          <w:rFonts w:asciiTheme="minorEastAsia" w:hAnsiTheme="minorEastAsia"/>
          <w:sz w:val="24"/>
          <w:szCs w:val="24"/>
        </w:rPr>
      </w:pPr>
      <w:r>
        <w:rPr>
          <w:rFonts w:hint="eastAsia" w:asciiTheme="minorEastAsia" w:hAnsiTheme="minorEastAsia"/>
          <w:sz w:val="24"/>
          <w:szCs w:val="24"/>
        </w:rPr>
        <w:t>　　（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pPr>
        <w:spacing w:line="360" w:lineRule="auto"/>
        <w:ind w:firstLine="480"/>
        <w:rPr>
          <w:rFonts w:asciiTheme="minorEastAsia" w:hAnsiTheme="minorEastAsia"/>
          <w:sz w:val="24"/>
          <w:szCs w:val="24"/>
        </w:rPr>
      </w:pPr>
      <w:r>
        <w:rPr>
          <w:rFonts w:hint="eastAsia" w:asciiTheme="minorEastAsia" w:hAnsiTheme="minorEastAsia"/>
          <w:sz w:val="24"/>
          <w:szCs w:val="24"/>
        </w:rPr>
        <w:t>各省、自治区、直辖市要因地制宜提出符合本地实际的实施办法，将本计划的要求落到实处。</w:t>
      </w:r>
    </w:p>
    <w:p>
      <w:pPr>
        <w:spacing w:line="360" w:lineRule="auto"/>
        <w:ind w:firstLine="480"/>
        <w:rPr>
          <w:rFonts w:asciiTheme="minorEastAsia" w:hAnsiTheme="minorEastAsia"/>
          <w:sz w:val="24"/>
          <w:szCs w:val="24"/>
        </w:rPr>
      </w:pPr>
    </w:p>
    <w:p>
      <w:pPr>
        <w:spacing w:line="360" w:lineRule="auto"/>
        <w:ind w:firstLine="480"/>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2018年2月11日</w:t>
      </w:r>
    </w:p>
    <w:p>
      <w:pPr>
        <w:spacing w:line="360" w:lineRule="auto"/>
        <w:ind w:firstLine="480"/>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spacing w:line="560" w:lineRule="atLeast"/>
        <w:jc w:val="center"/>
        <w:outlineLvl w:val="0"/>
        <w:rPr>
          <w:rFonts w:ascii="宋体" w:hAnsi="宋体" w:eastAsia="宋体" w:cs="宋体"/>
          <w:b/>
          <w:color w:val="333333"/>
          <w:kern w:val="0"/>
          <w:sz w:val="32"/>
          <w:szCs w:val="32"/>
        </w:rPr>
      </w:pPr>
      <w:r>
        <w:rPr>
          <w:rFonts w:hint="eastAsia" w:ascii="宋体" w:hAnsi="宋体" w:eastAsia="宋体" w:cs="宋体"/>
          <w:b/>
          <w:color w:val="333333"/>
          <w:kern w:val="0"/>
          <w:sz w:val="32"/>
          <w:szCs w:val="32"/>
        </w:rPr>
        <w:t>关于分类推进人才评价机制改革的指导意见</w:t>
      </w:r>
    </w:p>
    <w:p>
      <w:pPr>
        <w:widowControl/>
        <w:shd w:val="clear" w:color="auto" w:fill="FFFFFF"/>
        <w:spacing w:line="560" w:lineRule="atLeast"/>
        <w:jc w:val="center"/>
        <w:outlineLvl w:val="0"/>
        <w:rPr>
          <w:rFonts w:ascii="宋体" w:hAnsi="宋体" w:eastAsia="宋体" w:cs="宋体"/>
          <w:b/>
          <w:color w:val="333333"/>
          <w:kern w:val="0"/>
          <w:sz w:val="28"/>
          <w:szCs w:val="28"/>
        </w:rPr>
      </w:pPr>
      <w:r>
        <w:rPr>
          <w:rFonts w:ascii="宋体" w:hAnsi="宋体" w:eastAsia="宋体" w:cs="宋体"/>
          <w:b/>
          <w:color w:val="333333"/>
          <w:kern w:val="0"/>
          <w:sz w:val="28"/>
          <w:szCs w:val="28"/>
        </w:rPr>
        <w:t>中办发〔2018〕6号</w:t>
      </w:r>
    </w:p>
    <w:p>
      <w:pPr>
        <w:widowControl/>
        <w:shd w:val="clear" w:color="auto" w:fill="FFFFFF"/>
        <w:spacing w:line="560" w:lineRule="atLeast"/>
        <w:jc w:val="center"/>
        <w:outlineLvl w:val="0"/>
        <w:rPr>
          <w:rFonts w:ascii="宋体" w:hAnsi="宋体" w:eastAsia="宋体" w:cs="宋体"/>
          <w:b/>
          <w:color w:val="333333"/>
          <w:kern w:val="0"/>
          <w:sz w:val="30"/>
          <w:szCs w:val="30"/>
        </w:rPr>
      </w:pP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人才评价是人才发展体制机制的重要组成部分，是人才资源开发管理和使用的前提。建立科学的人才分类评价机制，对于树立正确用人导向、激励引导人才职业发展、调动人才创新创业积极性、加快建设人才强国具有重要作用。当前，我国人才评价机制仍存在分类评价不足、评价标准单一、评价手段趋同、评价社会化程度不高、用人主体自主权落实不够等突出问题，亟需通过深化改革加以解决。为深入贯彻落实《中共中央印发〈关于深化人才发展体制机制改革的意见〉的通知》，创新人才评价机制，发挥人才评价指挥棒作用，现就分类推进人才评价机制改革提出如下意见。</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一、总体要求和基本原则</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一）总体要求。全面贯彻党的十九大精神，以习近平新时代中国特色社会主义思想为指导，认真落实党中央、国务院决策部署，按照统筹推进“五位一体”总体布局和协调推进“四个全面”战略布局要求，落实新发展理念，围绕实施人才强国战略和创新驱动发展战略，以科学分类为基础，以激发人才创新创业活力为目的，加快形成导向明确、精准科学、规范有序、竞争择优的科学化社会化市场化人才评价机制，建立与中国特色社会主义制度相适应的人才评价制度，努力形成人人渴望成才、人人努力成才、人人皆可成才、人人尽展其才的良好局面，使优秀人才脱颖而出。</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（二）基本原则</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坚持党管人才原则。充分发挥党的思想政治优势、组织优势、密切联系群众优势，进一步加强党对人才评价工作的领导，将改革完善人才评价机制作为人才工作的重要内容，在全社会大兴识才爱才敬才用才容才聚才之风，把各方面优秀人才集聚到党和人民的伟大奋斗中来。</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——坚持服务发展。围绕经济社会发展和人才发展需求，充分发挥人才评价正向激励作用，推动多出人才、出好人才，最大限度激发和释放人才创新创业活力，促进人才发展与经济社会发展深度融合。</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——坚持科学公正。遵循人才成长规律，突出品德、能力和业绩评价导向，分类建立体现不同职业、不同岗位、不同层次人才特点的评价机制，科学客观公正评价人才，让各类人才价值得到充分尊重和体现。</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坚持改革创新。围绕用好用活人才，着力破除思想障碍和制度藩篱，加快转变政府职能，保障落实用人主体自主权，发挥政府、市场、专业组织、用人单位等多元评价主体作用，营造有利于人才成长和发挥作用的评价制度环境。</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二、分类健全人才评价标准</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三）实行分类评价。以职业属性和岗位要求为基础，健全科学的人才分类评价体系。根据不同职业、不同岗位、不同层次人才特点和职责，坚持共通性与特殊性、水平业绩与发展潜力、定性与定量评价相结合，分类建立健全涵盖品德、知识、能力、业绩和贡献等要素，科学合理、各有侧重的人才评价标准。加快新兴职业领域人才评价标准开发工作。建立评价标准动态更新调整机制。</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四）突出品德评价。坚持德才兼备，把品德作为人才评价的首要内容，加强对人才科学精神、职业道德、从业操守等评价考核，倡导诚实守信，强化社会责任，抵制心浮气躁、急功近利等不良风气，从严治理弄虚作假和学术不端行为。完善人才评价诚信体系，建立诚信守诺、失信行为记录和惩戒制度。探索建立基于道德操守和诚信情况的评价退出机制。</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五）科学设置评价标准。坚持凭能力、实绩、贡献评价人才，克服唯学历、唯资历、唯论文等倾向，注重考察各类人才的专业性、创新性和履责绩效、创新成果、实际贡献。着力解决评价标准“一刀切”问题，合理设置和使用论文、专著、影响因子等评价指标，实行差别化评价，鼓励人才在不同领域、不同岗位作出贡献、追求卓越。</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三、改进和创新人才评价方式</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六）创新多元评价方式。按照社会和业内认可的要求，建立以同行评价为基础的业内评价机制，注重引入市场评价和社会评价，发挥多元评价主体作用。基础研究人才以同行学术评价为主，加强国际同行评价。应用研究和技术开发人才突出市场评价，由用户、市场和专家等相关第三方评价。哲学社会科学人才评价重在同行认可和社会效益。丰富评价手段，科学灵活采用考试、评审、考评结合、考核认定、个人述职、面试答辩、实践操作、业绩展示等不同方式，提高评价的针对性和精准性。</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七）科学设置人才评价周期。遵循不同类型人才成长发展规律，科学合理设置评价考核周期，注重过程评价和结果评价、短期评价和长期评价相结合，克服评价考核过于频繁的倾向。探索实施聘期评价制度。突出中长期目标导向，适当延长基础研究人才、青年人才等评价考核周期，鼓励持续研究和长期积累。</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八）畅通人才评价渠道。进一步打破户籍、地域、所有制、身份、人事关系等限制，依托具备条件的行业协会、专业学会、公共人才服务机构等，畅通非公有制经济组织、社会组织和新兴职业等领域人才申报评价渠道。对引进的海外高层次人才和急需紧缺人才，建立评价绿色通道。完善外籍人才、港澳台人才申报评价办法。</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九）促进人才评价和项目评审、机构评估有机衔接。按照既出成果、又出人才的要求，在各类工程项目、科技计划、机构平台等评审评估中加强人才评价，完善在重大科研、工程项目实施、急难险重工作中评价、识别人才机制。深入推进项目评审、人才评价、机构评估改革，树立正确评价导向，进一步精简整合、取消下放、优化布局评审事项，简化评审环节，改进评审方式，减轻人才负担。避免简单通过各类人才计划头衔评价人才。加强评价结果共享，避免多头、频繁、重复评价人才。</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四、加快推进重点领域人才评价改革</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改革科技人才评价制度。围绕建设创新型国家和世界科技强国目标，结合科技体制改革，建立健全以科研诚信为基础，以创新能力、质量、贡献、绩效为导向的科技人才评价体系。对主要从事基础研究的人才，着重评价其提出和解决重大科学问题的原创能力、成果的科学价值、学术水平和影响等。对主要从事应用研究和技术开发的人才，着重评价其技术创新与集成能力、取得的自主知识产权和重大技术突破、成果转化、对产业发展的实际贡献等。对从事社会公益研究、科技管理服务和实验技术的人才，重在评价考核工作绩效，引导其提高服务水平和技术支持能力。</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实行代表性成果评价，突出评价研究成果质量、原创价值和对经济社会发展实际贡献。改变片面将论文、专利、项目、经费数量等与科技人才评价直接挂钩的做法，建立并实施有利于科技人才潜心研究和创新的评价制度。</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注重个人评价与团队评价相结合。适应科技协同创新和跨学科、跨领域发展等特点，进一步完善科技创新团队评价办法，实行以合作解决重大科技问题为重点的整体性评价。对创新团队负责人以把握研究发展方向、学术造诣水平、组织协调和团队建设等为评价重点。尊重认可团队所有参与者的实际贡献，杜绝无实质贡献的虚假挂名。</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一）科学评价哲学社会科学和文化艺术人才。坚持马克思主义指导地位、为人民做学问的研究立场、以人民为中心的创作导向，注重政治标准和学术标准、继承性和民族性、原创性和时代性、系统性和专业性相统一，建立健全中国特色的哲学社会科学和文化艺术人才评价体系，推进中国特色哲学社会科学学科体系、学术体系、话语体系建设，推出更多无愧于民族、无愧于时代的文艺精品。</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根据人文科学、社会科学、文化艺术等不同学科领域，理论研究、应用对策研究、艺术表演创作等不同类型，对其人才实行分类评价。对主要从事理论研究的人才，重点评价其在推动理论创新、传承文明、学科建设等方面的能力贡献。对主要从事应用对策研究的人才，重点评价其围绕统筹推进“五位一体”总体布局和协调推进“四个全面”战略布局，为党和政府决策提供服务支撑的能力业绩。对主要从事艺术表演创作的人才，重点评价其在艺术表演、作品创作、满足人民精神文化需求等方面的能力业绩。突出成果的研究质量、内容创新和社会效益，推行理论文章、决策咨询研究报告、建言献策成果、优秀网络文章、艺术创作作品等与论文、专著等效评价。</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二）健全教育人才评价体系。坚持立德树人，把教书育人作为教育人才评价的核心内容。深化高校教师评价制度改革，坚持社会主义办学方向，坚持思想政治素质和业务能力双重考察、全面考核和突出重点相结合，注重对师德师风、教育教学、科学研究、社会服务、专业发展的综合评价。坚持分类指导和分层次评价相结合，根据不同类型高校、不同岗位教师的职责特点，分类分层次分学科设置评价内容和评价方式。突出教育教学业绩评价，将人才培养中心任务落到实处，要求所有教师都必须承担教育教学工作，建立健全教学工作量评价标准，落实教授为本专科生授课制度，加强教学质量和课堂教学纪律考核。</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适应现代职业教育发展需要，按照兼备专业理论知识和技能操作实践能力的要求，完善职业院校（含技工院校）“双师型”教师评价标准，吸纳行业、企业作为评价参与主体，重点评价其职业素养、专业教学能力和生产一线实践经验。</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适应中小学素质教育和课程改革新要求，建立充分体现中小学教师岗位特点的评价标准，重点评价其教育教学方法、教书育人工作业绩和一线实践经历。严禁简单用学生升学率和考试成绩评价中小学教师。</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三）改进医疗卫生人才评价制度。强化医疗卫生人才临床实践能力评价，完善涵盖医德医风、临床实践、科研带教、公共卫生服务等要素的评价指标体系，合理确定不同医疗卫生机构、不同专业岗位人才评价重点。对主要从事临床工作的人才，重点考察其临床医疗医技水平、实践操作能力和工作业绩，引入临床病历、诊治方案等作为评价依据。对主要从事科研工作的人才，重点考察其创新能力业绩，突出创新成果的转化应用能力。对主要从事疾病预防控制等的公共卫生人才，重点考察其流行病学调查、传染病疫情和突发公共卫生事件处置、疾病及危害因素监测与评价等能力。</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建立符合全科医生岗位特点的评价机制，考核其掌握全科医学基本理论知识、常见病多发病诊疗、预防保健和提供基本公共卫生服务的能力，将签约居民数量、接诊量、服务质量、群众满意度作为重要评价因素。</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按照强基层、保基本及分级诊疗要求，建立更加注重临床水平、服务质量、工作业绩的基层医疗卫生人才评价机制，鼓励医疗卫生人才服务基层，更好满足基层人民群众健康需求。</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四）创新技术技能人才评价制度。适应工程技术专业化、标准化程度高、通用性强等特点，分专业领域建立健全工程技术人才评价标准，着力解决评价标准过于追求学术化问题，重点评价其掌握必备专业理论知识和解决工程技术难题、技术创造发明、技术推广应用、工程项目设计、工艺流程标准开发等实际能力和业绩。探索推动工程师国际互认，提高工程教育质量和工程技术人才职业化、国际化水平。</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健全以职业能力为导向、以工作业绩为重点、注重职业道德和知识水平的技能人才评价体系。加快构建国家职业标准、行业企业工种岗位要求、专项职业能力考核规范等多层次职业标准。完善职业资格评价、职业技能等级认定、专项职业能力考核等多元化评价方式，做好评价结果有机衔接。坚持职业标准和岗位要求、职业能力考核和工作业绩评价、专业评价和企业认可相结合的原则，对技术技能型人才突出实际操作能力和解决关键生产技术难题要求，对知识技能型人才突出掌握运用理论知识指导生产实践、创造性开展工作要求，对复合技能型人才突出掌握多项技能、从事多工种多岗位复杂工作要求，引导鼓励技能人才培育精益求精的工匠精神。</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五）完善面向企业、基层一线和青年人才的评价机制。建立与产业发展需求、经济结构相适应的企业人才评价机制，突出创新创业实践能力，推动企业自主创新能力提升。对业绩贡献突出的优秀企业家、经营管理人才、高层次创新创业人才，可放宽学历、资历、年限等申报条件。健全以市场和出资人认可为重要标准的企业经营管理人才评价体系，突出对经营业绩和综合素质的考核。建立社会化的职业经理人评价制度。</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创新基层人才评价激励机制。对长期在基层一线和艰苦边远地区工作的人才，加大爱岗敬业表现、实际工作业绩、工作年限等评价权重，着力拓展基层人才职业发展空间。健全以职业农民为主体的农村实用人才评价制度，完善教育培训、认定评价管理、政策扶持“三位一体”的制度体系。完善社会工作专业人才职业水平评价制度，加强社会工作者职业化管理与激励保障，提升社会治理和社会服务现代化水平。</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完善青年人才评价激励措施。破除论资排辈、重显绩不重潜力等陈旧观念，重点遴选支持一批有较大发展潜力、有真才实学、堪当重任的优秀青年人才。加大各类科技、教育、人才工程项目对青年人才支持力度，鼓励设立青年专项，促进优秀青年人才脱颖而出。探索建立优秀青年人才举荐制度。</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五、健全完善人才评价管理服务制度</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六）保障和落实用人单位自主权。尊重用人单位主导作用，支持用人单位结合自身功能定位和发展方向评价人才，促进人才评价与培养、使用、激励等相衔接。合理界定和下放人才评价权限，推动具备条件的高校、科研院所、医院、文化机构、大型企业、国家实验室、新型研发机构及其他人才智力密集单位自主开展评价聘用（任）工作。防止人才评价行政化、“官本位”倾向，充分发挥学术委员会等作用。对开展自主评价的单位，人才管理部门不再进行资格审批，通过完善信用机制、第三方评估、检查抽查等方式加强事中事后监管。</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七）健全市场化、社会化的管理服务体系。进一步明确政府、市场、用人主体在人才评价中的职能定位，建立权责清晰、管理科学、协调高效的人才评价管理体制。推动人才管理部门转变职能、简政放权，强化政府人才评价宏观管理、政策法规制定、公共服务、监督保障等职能，减少审批事项和微观管理。发挥市场、社会等多元评价主体作用，积极培育发展各类人才评价社会组织和专业机构，逐步有序承接政府转移的人才评价职能。建立人才评价机构综合评估、动态调整机制。</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十八）优化公平公正的评价环境。加强人才评价法治建设，健全完善规章制度，提高评价质量和公信力，维护人才合法权益。严格规范评价程序，建立健全申报、审核、公示、反馈、申诉、巡查、举报、回溯等制度。加强评价专家数据库建设和资源共享，建立随机、回避、轮换的专家遴选机制，优化专家来源和结构，强化业内代表性。建立评价专家责任和信誉制度，实施退出和问责机制。强化人才评价综合治理，依法清理规范各类人才评价活动和发证、收费等事项，加强考试环境治理，落实考试安全主体责任。加强人才评价文化建设，提倡开展平等包容的学术批评、学术争论，保障不同学术观点的充分讨论，营造求真务实、鼓励创新、宽容失败的评价氛围和环境。</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各地区各部门要坚持党管人才原则，切实加强党委和政府对改革完善人才评价机制的统一领导，党委组织部门要牵头抓总，有关部门要各司其职、密切配合，发挥社会力量重要作用，认真抓好组织落实。要深入调查研究，结合实际制定具体实施方案，加强分类指导，强化督促检查，确保改革任务落地见效。军队可根据本意见，结合实际建立健全军队人才评价机制。要坚持分类推进、先行试点、稳步实施，及时研究解决改革中遇到的新情况新问题。要加强政策解读和舆论引导，积极回应社会关切，为分类推进人才评价机制改革营造良好氛围。</w:t>
      </w:r>
    </w:p>
    <w:p>
      <w:pPr>
        <w:spacing w:line="360" w:lineRule="auto"/>
      </w:pPr>
    </w:p>
    <w:p>
      <w:pPr>
        <w:spacing w:line="360" w:lineRule="auto"/>
        <w:rPr>
          <w:rFonts w:asciiTheme="minorEastAsia" w:hAnsiTheme="minorEastAsia"/>
          <w:sz w:val="24"/>
          <w:szCs w:val="24"/>
        </w:rPr>
      </w:pPr>
      <w:r>
        <w:rPr>
          <w:rFonts w:asciiTheme="minorEastAsia" w:hAnsiTheme="minorEastAsia"/>
          <w:sz w:val="24"/>
          <w:szCs w:val="24"/>
        </w:rPr>
        <w:br w:type="page"/>
      </w:r>
    </w:p>
    <w:p>
      <w:pPr>
        <w:pStyle w:val="10"/>
        <w:spacing w:before="0" w:beforeAutospacing="0" w:after="0" w:afterAutospacing="0" w:line="560" w:lineRule="exact"/>
        <w:jc w:val="center"/>
        <w:rPr>
          <w:rFonts w:asciiTheme="minorEastAsia" w:hAnsiTheme="minorEastAsia" w:eastAsiaTheme="minorEastAsia"/>
          <w:b/>
          <w:color w:val="000000"/>
          <w:sz w:val="28"/>
          <w:szCs w:val="28"/>
        </w:rPr>
      </w:pPr>
      <w:r>
        <w:rPr>
          <w:rStyle w:val="12"/>
          <w:color w:val="000000"/>
          <w:sz w:val="32"/>
          <w:szCs w:val="32"/>
        </w:rPr>
        <w:t>国务院办公厅关于深化高等学校创新创业教育改革的实施意见</w:t>
      </w:r>
      <w:r>
        <w:rPr>
          <w:b/>
          <w:bCs/>
          <w:color w:val="000000"/>
          <w:sz w:val="32"/>
          <w:szCs w:val="32"/>
        </w:rPr>
        <w:br w:type="textWrapping"/>
      </w:r>
      <w:r>
        <w:rPr>
          <w:rFonts w:asciiTheme="minorEastAsia" w:hAnsiTheme="minorEastAsia" w:eastAsiaTheme="minorEastAsia"/>
          <w:b/>
          <w:color w:val="000000"/>
          <w:sz w:val="28"/>
          <w:szCs w:val="28"/>
        </w:rPr>
        <w:t>国办发〔2015〕36号</w:t>
      </w:r>
    </w:p>
    <w:p>
      <w:pPr>
        <w:pStyle w:val="10"/>
        <w:spacing w:before="0" w:beforeAutospacing="0" w:after="0" w:afterAutospacing="0" w:line="560" w:lineRule="exact"/>
        <w:jc w:val="center"/>
        <w:rPr>
          <w:rFonts w:asciiTheme="minorEastAsia" w:hAnsiTheme="minorEastAsia" w:eastAsiaTheme="minorEastAsia"/>
          <w:b/>
          <w:color w:val="000000"/>
          <w:sz w:val="30"/>
          <w:szCs w:val="30"/>
        </w:rPr>
      </w:pPr>
    </w:p>
    <w:p>
      <w:pPr>
        <w:pStyle w:val="10"/>
        <w:spacing w:before="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各省、自治区、直辖市人民政府，国务院各部委、各直属机构：</w:t>
      </w:r>
      <w:r>
        <w:rPr>
          <w:rFonts w:asciiTheme="minorEastAsia" w:hAnsiTheme="minorEastAsia" w:eastAsiaTheme="minorEastAsia"/>
          <w:color w:val="000000"/>
        </w:rPr>
        <w:br w:type="textWrapping"/>
      </w:r>
      <w:r>
        <w:rPr>
          <w:rFonts w:asciiTheme="minorEastAsia" w:hAnsiTheme="minorEastAsia" w:eastAsiaTheme="minorEastAsia"/>
          <w:color w:val="000000"/>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asciiTheme="minorEastAsia" w:hAnsiTheme="minorEastAsia" w:eastAsiaTheme="minorEastAsia"/>
          <w:color w:val="000000"/>
        </w:rPr>
        <w:br w:type="textWrapping"/>
      </w:r>
      <w:r>
        <w:rPr>
          <w:rFonts w:asciiTheme="minorEastAsia" w:hAnsiTheme="minorEastAsia" w:eastAsiaTheme="minorEastAsia"/>
          <w:color w:val="000000"/>
        </w:rPr>
        <w:t>　　</w:t>
      </w:r>
      <w:r>
        <w:rPr>
          <w:rStyle w:val="12"/>
          <w:rFonts w:asciiTheme="minorEastAsia" w:hAnsiTheme="minorEastAsia" w:eastAsiaTheme="minorEastAsia"/>
          <w:color w:val="000000"/>
        </w:rPr>
        <w:t>一、总体要求</w:t>
      </w:r>
      <w:r>
        <w:rPr>
          <w:rFonts w:asciiTheme="minorEastAsia" w:hAnsiTheme="minorEastAsia" w:eastAsiaTheme="minorEastAsia"/>
          <w:b/>
          <w:bCs/>
          <w:color w:val="000000"/>
        </w:rPr>
        <w:br w:type="textWrapping"/>
      </w:r>
      <w:r>
        <w:rPr>
          <w:rFonts w:asciiTheme="minorEastAsia" w:hAnsiTheme="minorEastAsia" w:eastAsiaTheme="minorEastAsia"/>
          <w:color w:val="000000"/>
        </w:rPr>
        <w:t>　　（一）指导思想。</w:t>
      </w:r>
      <w:r>
        <w:rPr>
          <w:rFonts w:asciiTheme="minorEastAsia" w:hAnsiTheme="minorEastAsia" w:eastAsiaTheme="minorEastAsia"/>
          <w:color w:val="000000"/>
        </w:rPr>
        <w:br w:type="textWrapping"/>
      </w:r>
      <w:r>
        <w:rPr>
          <w:rFonts w:asciiTheme="minorEastAsia" w:hAnsiTheme="minorEastAsia" w:eastAsiaTheme="minorEastAsia"/>
          <w:color w:val="000000"/>
        </w:rPr>
        <w:t>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Pr>
          <w:rFonts w:asciiTheme="minorEastAsia" w:hAnsiTheme="minorEastAsia" w:eastAsiaTheme="minorEastAsia"/>
          <w:color w:val="000000"/>
        </w:rPr>
        <w:br w:type="textWrapping"/>
      </w:r>
      <w:r>
        <w:rPr>
          <w:rFonts w:asciiTheme="minorEastAsia" w:hAnsiTheme="minorEastAsia" w:eastAsiaTheme="minorEastAsia"/>
          <w:color w:val="000000"/>
        </w:rPr>
        <w:t>　　（二）基本原则。</w:t>
      </w:r>
      <w:r>
        <w:rPr>
          <w:rFonts w:asciiTheme="minorEastAsia" w:hAnsiTheme="minorEastAsia" w:eastAsiaTheme="minorEastAsia"/>
          <w:color w:val="000000"/>
        </w:rPr>
        <w:br w:type="textWrapping"/>
      </w:r>
      <w:r>
        <w:rPr>
          <w:rFonts w:asciiTheme="minorEastAsia" w:hAnsiTheme="minorEastAsia" w:eastAsiaTheme="minorEastAsia"/>
          <w:color w:val="000000"/>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asciiTheme="minorEastAsia" w:hAnsiTheme="minorEastAsia" w:eastAsiaTheme="minorEastAsia"/>
          <w:color w:val="000000"/>
        </w:rPr>
        <w:br w:type="textWrapping"/>
      </w:r>
      <w:r>
        <w:rPr>
          <w:rFonts w:asciiTheme="minorEastAsia" w:hAnsiTheme="minorEastAsia" w:eastAsiaTheme="minorEastAsia"/>
          <w:color w:val="000000"/>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asciiTheme="minorEastAsia" w:hAnsiTheme="minorEastAsia" w:eastAsiaTheme="minorEastAsia"/>
          <w:color w:val="000000"/>
        </w:rPr>
        <w:br w:type="textWrapping"/>
      </w:r>
      <w:r>
        <w:rPr>
          <w:rFonts w:asciiTheme="minorEastAsia" w:hAnsiTheme="minorEastAsia" w:eastAsiaTheme="minorEastAsia"/>
          <w:color w:val="000000"/>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asciiTheme="minorEastAsia" w:hAnsiTheme="minorEastAsia" w:eastAsiaTheme="minorEastAsia"/>
          <w:color w:val="000000"/>
        </w:rPr>
        <w:br w:type="textWrapping"/>
      </w:r>
      <w:r>
        <w:rPr>
          <w:rFonts w:asciiTheme="minorEastAsia" w:hAnsiTheme="minorEastAsia" w:eastAsiaTheme="minorEastAsia"/>
          <w:color w:val="000000"/>
        </w:rPr>
        <w:t>　　（三）总体目标。</w:t>
      </w:r>
      <w:r>
        <w:rPr>
          <w:rFonts w:asciiTheme="minorEastAsia" w:hAnsiTheme="minorEastAsia" w:eastAsiaTheme="minorEastAsia"/>
          <w:color w:val="000000"/>
        </w:rPr>
        <w:br w:type="textWrapping"/>
      </w:r>
      <w:r>
        <w:rPr>
          <w:rFonts w:asciiTheme="minorEastAsia" w:hAnsiTheme="minorEastAsia" w:eastAsiaTheme="minorEastAsia"/>
          <w:color w:val="000000"/>
        </w:rPr>
        <w:t>　　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r>
        <w:rPr>
          <w:rFonts w:asciiTheme="minorEastAsia" w:hAnsiTheme="minorEastAsia" w:eastAsiaTheme="minorEastAsia"/>
          <w:color w:val="000000"/>
        </w:rPr>
        <w:br w:type="textWrapping"/>
      </w:r>
      <w:r>
        <w:rPr>
          <w:rFonts w:asciiTheme="minorEastAsia" w:hAnsiTheme="minorEastAsia" w:eastAsiaTheme="minorEastAsia"/>
          <w:color w:val="000000"/>
        </w:rPr>
        <w:t>　　</w:t>
      </w:r>
      <w:r>
        <w:rPr>
          <w:rStyle w:val="12"/>
          <w:rFonts w:asciiTheme="minorEastAsia" w:hAnsiTheme="minorEastAsia" w:eastAsiaTheme="minorEastAsia"/>
          <w:color w:val="000000"/>
        </w:rPr>
        <w:t>二、主要任务和措施</w:t>
      </w:r>
      <w:r>
        <w:rPr>
          <w:rFonts w:asciiTheme="minorEastAsia" w:hAnsiTheme="minorEastAsia" w:eastAsiaTheme="minorEastAsia"/>
          <w:b/>
          <w:bCs/>
          <w:color w:val="000000"/>
        </w:rPr>
        <w:br w:type="textWrapping"/>
      </w:r>
      <w:r>
        <w:rPr>
          <w:rFonts w:asciiTheme="minorEastAsia" w:hAnsiTheme="minorEastAsia" w:eastAsiaTheme="minorEastAsia"/>
          <w:color w:val="000000"/>
        </w:rPr>
        <w:t>　　（一）完善人才培养质量标准。</w:t>
      </w:r>
      <w:r>
        <w:rPr>
          <w:rFonts w:asciiTheme="minorEastAsia" w:hAnsiTheme="minorEastAsia" w:eastAsiaTheme="minorEastAsia"/>
          <w:color w:val="000000"/>
        </w:rPr>
        <w:br w:type="textWrapping"/>
      </w:r>
      <w:r>
        <w:rPr>
          <w:rFonts w:asciiTheme="minorEastAsia" w:hAnsiTheme="minorEastAsia" w:eastAsiaTheme="minorEastAsia"/>
          <w:color w:val="000000"/>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asciiTheme="minorEastAsia" w:hAnsiTheme="minorEastAsia" w:eastAsiaTheme="minorEastAsia"/>
          <w:color w:val="000000"/>
        </w:rPr>
        <w:br w:type="textWrapping"/>
      </w:r>
      <w:r>
        <w:rPr>
          <w:rFonts w:asciiTheme="minorEastAsia" w:hAnsiTheme="minorEastAsia" w:eastAsiaTheme="minorEastAsia"/>
          <w:color w:val="000000"/>
        </w:rPr>
        <w:t>　　（二）创新人才培养机制。</w:t>
      </w:r>
      <w:r>
        <w:rPr>
          <w:rFonts w:asciiTheme="minorEastAsia" w:hAnsiTheme="minorEastAsia" w:eastAsiaTheme="minorEastAsia"/>
          <w:color w:val="000000"/>
        </w:rPr>
        <w:br w:type="textWrapping"/>
      </w:r>
      <w:r>
        <w:rPr>
          <w:rFonts w:asciiTheme="minorEastAsia" w:hAnsiTheme="minorEastAsia" w:eastAsiaTheme="minorEastAsia"/>
          <w:color w:val="000000"/>
        </w:rPr>
        <w:t>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asciiTheme="minorEastAsia" w:hAnsiTheme="minorEastAsia" w:eastAsiaTheme="minorEastAsia"/>
          <w:color w:val="000000"/>
        </w:rPr>
        <w:br w:type="textWrapping"/>
      </w:r>
      <w:r>
        <w:rPr>
          <w:rFonts w:asciiTheme="minorEastAsia" w:hAnsiTheme="minorEastAsia" w:eastAsiaTheme="minorEastAsia"/>
          <w:color w:val="000000"/>
        </w:rPr>
        <w:t>　　（三）健全创新创业教育课程体系。</w:t>
      </w:r>
      <w:r>
        <w:rPr>
          <w:rFonts w:asciiTheme="minorEastAsia" w:hAnsiTheme="minorEastAsia" w:eastAsiaTheme="minorEastAsia"/>
          <w:color w:val="000000"/>
        </w:rPr>
        <w:br w:type="textWrapping"/>
      </w:r>
      <w:r>
        <w:rPr>
          <w:rFonts w:asciiTheme="minorEastAsia" w:hAnsiTheme="minorEastAsia" w:eastAsiaTheme="minorEastAsia"/>
          <w:color w:val="000000"/>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asciiTheme="minorEastAsia" w:hAnsiTheme="minorEastAsia" w:eastAsiaTheme="minorEastAsia"/>
          <w:color w:val="000000"/>
        </w:rPr>
        <w:br w:type="textWrapping"/>
      </w:r>
      <w:r>
        <w:rPr>
          <w:rFonts w:asciiTheme="minorEastAsia" w:hAnsiTheme="minorEastAsia" w:eastAsiaTheme="minorEastAsia"/>
          <w:color w:val="000000"/>
        </w:rPr>
        <w:t>　　（四）改革教学方法和考核方式。</w:t>
      </w:r>
      <w:r>
        <w:rPr>
          <w:rFonts w:asciiTheme="minorEastAsia" w:hAnsiTheme="minorEastAsia" w:eastAsiaTheme="minorEastAsia"/>
          <w:color w:val="000000"/>
        </w:rPr>
        <w:br w:type="textWrapping"/>
      </w:r>
      <w:r>
        <w:rPr>
          <w:rFonts w:asciiTheme="minorEastAsia" w:hAnsiTheme="minorEastAsia" w:eastAsiaTheme="minorEastAsia"/>
          <w:color w:val="000000"/>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Pr>
          <w:rFonts w:asciiTheme="minorEastAsia" w:hAnsiTheme="minorEastAsia" w:eastAsiaTheme="minorEastAsia"/>
          <w:color w:val="000000"/>
        </w:rPr>
        <w:br w:type="textWrapping"/>
      </w:r>
      <w:r>
        <w:rPr>
          <w:rFonts w:asciiTheme="minorEastAsia" w:hAnsiTheme="minorEastAsia" w:eastAsiaTheme="minorEastAsia"/>
          <w:color w:val="000000"/>
        </w:rPr>
        <w:t>　　（五）强化创新创业实践。</w:t>
      </w:r>
      <w:r>
        <w:rPr>
          <w:rFonts w:asciiTheme="minorEastAsia" w:hAnsiTheme="minorEastAsia" w:eastAsiaTheme="minorEastAsia"/>
          <w:color w:val="000000"/>
        </w:rPr>
        <w:br w:type="textWrapping"/>
      </w:r>
      <w:r>
        <w:rPr>
          <w:rFonts w:asciiTheme="minorEastAsia" w:hAnsiTheme="minorEastAsia" w:eastAsiaTheme="minorEastAsia"/>
          <w:color w:val="000000"/>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asciiTheme="minorEastAsia" w:hAnsiTheme="minorEastAsia" w:eastAsiaTheme="minorEastAsia"/>
          <w:color w:val="000000"/>
        </w:rPr>
        <w:br w:type="textWrapping"/>
      </w:r>
      <w:r>
        <w:rPr>
          <w:rFonts w:asciiTheme="minorEastAsia" w:hAnsiTheme="minorEastAsia" w:eastAsiaTheme="minorEastAsia"/>
          <w:color w:val="000000"/>
        </w:rPr>
        <w:t>　　（六）改革教学和学籍管理制度。</w:t>
      </w:r>
      <w:r>
        <w:rPr>
          <w:rFonts w:asciiTheme="minorEastAsia" w:hAnsiTheme="minorEastAsia" w:eastAsiaTheme="minorEastAsia"/>
          <w:color w:val="000000"/>
        </w:rPr>
        <w:br w:type="textWrapping"/>
      </w:r>
      <w:r>
        <w:rPr>
          <w:rFonts w:asciiTheme="minorEastAsia" w:hAnsiTheme="minorEastAsia" w:eastAsiaTheme="minorEastAsia"/>
          <w:color w:val="000000"/>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asciiTheme="minorEastAsia" w:hAnsiTheme="minorEastAsia" w:eastAsiaTheme="minorEastAsia"/>
          <w:color w:val="000000"/>
        </w:rPr>
        <w:br w:type="textWrapping"/>
      </w:r>
      <w:r>
        <w:rPr>
          <w:rFonts w:asciiTheme="minorEastAsia" w:hAnsiTheme="minorEastAsia" w:eastAsiaTheme="minorEastAsia"/>
          <w:color w:val="000000"/>
        </w:rPr>
        <w:t>　　（七）加强教师创新创业教育教学能力建设。</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asciiTheme="minorEastAsia" w:hAnsiTheme="minorEastAsia" w:eastAsiaTheme="minorEastAsia"/>
          <w:color w:val="000000"/>
        </w:rPr>
        <w:br w:type="textWrapping"/>
      </w:r>
      <w:r>
        <w:rPr>
          <w:rFonts w:asciiTheme="minorEastAsia" w:hAnsiTheme="minorEastAsia" w:eastAsiaTheme="minorEastAsia"/>
          <w:color w:val="000000"/>
        </w:rPr>
        <w:t>　　（八）改进学生创业指导服务。</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asciiTheme="minorEastAsia" w:hAnsiTheme="minorEastAsia" w:eastAsiaTheme="minorEastAsia"/>
          <w:color w:val="000000"/>
        </w:rPr>
        <w:br w:type="textWrapping"/>
      </w:r>
      <w:r>
        <w:rPr>
          <w:rFonts w:asciiTheme="minorEastAsia" w:hAnsiTheme="minorEastAsia" w:eastAsiaTheme="minorEastAsia"/>
          <w:color w:val="000000"/>
        </w:rPr>
        <w:t>　　（九）完善创新创业资金支持和政策保障体系。</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asciiTheme="minorEastAsia" w:hAnsiTheme="minorEastAsia" w:eastAsiaTheme="minorEastAsia"/>
          <w:color w:val="000000"/>
        </w:rPr>
        <w:br w:type="textWrapping"/>
      </w:r>
      <w:r>
        <w:rPr>
          <w:rFonts w:asciiTheme="minorEastAsia" w:hAnsiTheme="minorEastAsia" w:eastAsiaTheme="minorEastAsia"/>
          <w:color w:val="000000"/>
        </w:rPr>
        <w:t>　　</w:t>
      </w:r>
      <w:r>
        <w:rPr>
          <w:rStyle w:val="12"/>
          <w:rFonts w:asciiTheme="minorEastAsia" w:hAnsiTheme="minorEastAsia" w:eastAsiaTheme="minorEastAsia"/>
          <w:color w:val="000000"/>
        </w:rPr>
        <w:t>三、加强组织领导</w:t>
      </w:r>
      <w:r>
        <w:rPr>
          <w:rFonts w:asciiTheme="minorEastAsia" w:hAnsiTheme="minorEastAsia" w:eastAsiaTheme="minorEastAsia"/>
          <w:b/>
          <w:bCs/>
          <w:color w:val="000000"/>
        </w:rPr>
        <w:br w:type="textWrapping"/>
      </w:r>
      <w:r>
        <w:rPr>
          <w:rFonts w:asciiTheme="minorEastAsia" w:hAnsiTheme="minorEastAsia" w:eastAsiaTheme="minorEastAsia"/>
          <w:color w:val="000000"/>
        </w:rPr>
        <w:t>　　（一）健全体制机制。</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asciiTheme="minorEastAsia" w:hAnsiTheme="minorEastAsia" w:eastAsiaTheme="minorEastAsia"/>
          <w:color w:val="000000"/>
        </w:rPr>
        <w:br w:type="textWrapping"/>
      </w:r>
      <w:r>
        <w:rPr>
          <w:rFonts w:asciiTheme="minorEastAsia" w:hAnsiTheme="minorEastAsia" w:eastAsiaTheme="minorEastAsia"/>
          <w:color w:val="000000"/>
        </w:rPr>
        <w:t>　　（二）细化实施方案。</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asciiTheme="minorEastAsia" w:hAnsiTheme="minorEastAsia" w:eastAsiaTheme="minorEastAsia"/>
          <w:color w:val="000000"/>
        </w:rPr>
        <w:br w:type="textWrapping"/>
      </w:r>
      <w:r>
        <w:rPr>
          <w:rFonts w:asciiTheme="minorEastAsia" w:hAnsiTheme="minorEastAsia" w:eastAsiaTheme="minorEastAsia"/>
          <w:color w:val="000000"/>
        </w:rPr>
        <w:t>　　（三）强化督导落实。</w:t>
      </w:r>
      <w:r>
        <w:rPr>
          <w:rFonts w:asciiTheme="minorEastAsia" w:hAnsiTheme="minorEastAsia" w:eastAsiaTheme="minorEastAsia"/>
          <w:color w:val="000000"/>
        </w:rPr>
        <w:br w:type="textWrapping"/>
      </w:r>
      <w:r>
        <w:rPr>
          <w:rFonts w:asciiTheme="minorEastAsia" w:hAnsiTheme="minorEastAsia" w:eastAsiaTheme="minorEastAsia"/>
          <w:color w:val="000000"/>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asciiTheme="minorEastAsia" w:hAnsiTheme="minorEastAsia" w:eastAsiaTheme="minorEastAsia"/>
          <w:color w:val="000000"/>
        </w:rPr>
        <w:br w:type="textWrapping"/>
      </w:r>
      <w:r>
        <w:rPr>
          <w:rFonts w:asciiTheme="minorEastAsia" w:hAnsiTheme="minorEastAsia" w:eastAsiaTheme="minorEastAsia"/>
          <w:color w:val="000000"/>
        </w:rPr>
        <w:t>　　（四）加强宣传引导。</w:t>
      </w:r>
      <w:r>
        <w:rPr>
          <w:rFonts w:asciiTheme="minorEastAsia" w:hAnsiTheme="minorEastAsia" w:eastAsiaTheme="minorEastAsia"/>
          <w:color w:val="000000"/>
        </w:rPr>
        <w:br w:type="textWrapping"/>
      </w:r>
      <w:r>
        <w:rPr>
          <w:rFonts w:asciiTheme="minorEastAsia" w:hAnsiTheme="minorEastAsia" w:eastAsiaTheme="minorEastAsia"/>
          <w:color w:val="000000"/>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pPr>
        <w:pStyle w:val="10"/>
        <w:spacing w:before="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国务院办公厅</w:t>
      </w:r>
      <w:r>
        <w:rPr>
          <w:rFonts w:asciiTheme="minorEastAsia" w:hAnsiTheme="minorEastAsia" w:eastAsiaTheme="minorEastAsia"/>
          <w:color w:val="000000"/>
        </w:rPr>
        <w:br w:type="textWrapping"/>
      </w:r>
      <w:r>
        <w:rPr>
          <w:rFonts w:asciiTheme="minorEastAsia" w:hAnsiTheme="minorEastAsia" w:eastAsiaTheme="minorEastAsia"/>
          <w:color w:val="000000"/>
        </w:rPr>
        <w:t>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2015年5月4日</w:t>
      </w: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spacing w:line="360" w:lineRule="auto"/>
        <w:jc w:val="center"/>
        <w:rPr>
          <w:rFonts w:cs="宋体" w:asciiTheme="minorEastAsia" w:hAnsiTheme="minorEastAsia"/>
          <w:b/>
          <w:color w:val="4B4B4B"/>
          <w:kern w:val="0"/>
          <w:sz w:val="32"/>
          <w:szCs w:val="32"/>
        </w:rPr>
      </w:pPr>
      <w:r>
        <w:rPr>
          <w:rFonts w:hint="eastAsia" w:cs="宋体" w:asciiTheme="minorEastAsia" w:hAnsiTheme="minorEastAsia"/>
          <w:b/>
          <w:color w:val="4B4B4B"/>
          <w:kern w:val="0"/>
          <w:sz w:val="32"/>
          <w:szCs w:val="32"/>
        </w:rPr>
        <w:t>教育部关于狠抓新时代</w:t>
      </w:r>
    </w:p>
    <w:p>
      <w:pPr>
        <w:widowControl/>
        <w:shd w:val="clear" w:color="auto" w:fill="FFFFFF"/>
        <w:spacing w:line="360" w:lineRule="auto"/>
        <w:jc w:val="center"/>
        <w:rPr>
          <w:rFonts w:cs="宋体" w:asciiTheme="minorEastAsia" w:hAnsiTheme="minorEastAsia"/>
          <w:b/>
          <w:color w:val="4B4B4B"/>
          <w:kern w:val="0"/>
          <w:sz w:val="32"/>
          <w:szCs w:val="32"/>
        </w:rPr>
      </w:pPr>
      <w:r>
        <w:rPr>
          <w:rFonts w:hint="eastAsia" w:cs="宋体" w:asciiTheme="minorEastAsia" w:hAnsiTheme="minorEastAsia"/>
          <w:b/>
          <w:color w:val="4B4B4B"/>
          <w:kern w:val="0"/>
          <w:sz w:val="32"/>
          <w:szCs w:val="32"/>
        </w:rPr>
        <w:t>全国高等学校本科教育工作会议精神落实的通知</w:t>
      </w:r>
    </w:p>
    <w:p>
      <w:pPr>
        <w:widowControl/>
        <w:shd w:val="clear" w:color="auto" w:fill="FFFFFF"/>
        <w:spacing w:line="360" w:lineRule="auto"/>
        <w:jc w:val="center"/>
        <w:rPr>
          <w:rFonts w:cs="宋体" w:asciiTheme="minorEastAsia" w:hAnsiTheme="minorEastAsia"/>
          <w:b/>
          <w:color w:val="4B4B4B"/>
          <w:kern w:val="0"/>
          <w:sz w:val="28"/>
          <w:szCs w:val="28"/>
        </w:rPr>
      </w:pPr>
      <w:r>
        <w:rPr>
          <w:rFonts w:hint="eastAsia" w:cs="宋体" w:asciiTheme="minorEastAsia" w:hAnsiTheme="minorEastAsia"/>
          <w:b/>
          <w:color w:val="4B4B4B"/>
          <w:kern w:val="0"/>
          <w:sz w:val="28"/>
          <w:szCs w:val="28"/>
        </w:rPr>
        <w:t>教高函〔2018〕8号</w:t>
      </w:r>
    </w:p>
    <w:p>
      <w:pPr>
        <w:widowControl/>
        <w:shd w:val="clear" w:color="auto" w:fill="FFFFFF"/>
        <w:spacing w:line="360" w:lineRule="auto"/>
        <w:jc w:val="center"/>
        <w:rPr>
          <w:rFonts w:cs="宋体" w:asciiTheme="minorEastAsia" w:hAnsiTheme="minorEastAsia"/>
          <w:b/>
          <w:color w:val="4B4B4B"/>
          <w:kern w:val="0"/>
          <w:sz w:val="32"/>
          <w:szCs w:val="32"/>
        </w:rPr>
      </w:pPr>
    </w:p>
    <w:p>
      <w:pPr>
        <w:widowControl/>
        <w:shd w:val="clear" w:color="auto" w:fill="FFFFFF"/>
        <w:spacing w:line="360" w:lineRule="auto"/>
        <w:jc w:val="right"/>
        <w:rPr>
          <w:rFonts w:cs="宋体" w:asciiTheme="minorEastAsia" w:hAnsiTheme="minorEastAsia"/>
          <w:b/>
          <w:bCs/>
          <w:vanish/>
          <w:color w:val="4B4B4B"/>
          <w:kern w:val="0"/>
          <w:sz w:val="24"/>
          <w:szCs w:val="24"/>
        </w:rPr>
      </w:pPr>
      <w:r>
        <w:rPr>
          <w:rFonts w:hint="eastAsia" w:cs="宋体" w:asciiTheme="minorEastAsia" w:hAnsiTheme="minorEastAsia"/>
          <w:b/>
          <w:bCs/>
          <w:vanish/>
          <w:color w:val="4B4B4B"/>
          <w:kern w:val="0"/>
          <w:sz w:val="24"/>
          <w:szCs w:val="24"/>
        </w:rPr>
        <w:t>教高函〔2018〕8号</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各省、自治区、直辖市教育厅（教委），新疆生产建设兵团教育局，有关部门（单位）教育司（局），部属各高等学校、部省合建各高等学校：</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为深入贯彻落实新时代全国高等学校本科教育工作会议精神，加快振兴本科教育，构建高水平人才培养体系，全面提高高校人才培养能力，现就有关事项通知如下：</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一、组织开展教育思想大讨论，切实增强振兴本科的思想自觉和行动自觉 </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治校全过程。</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4.持续加强宣传。各地教育行政部门、各高校主要负责同志要以上率下、带头学习，在报刊、网络、电视等媒体发表学习心得、解读文章。各高校要在校报、校刊、门户网站、微博、微信公众号等各类媒体上开辟专栏，组织干部教师发表体会文章，介绍典型经验，宣传改革成果，努力营造振兴本科教育的良好舆论氛围。</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二、抓紧制定专项行动计划，系统规划振兴本科的建设路径和关键举措 </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制定高校实施方案。各高校党委常委会、校长办公会要专题研究本科教育工作，结合实际制定本校振兴本科教育实施方案，明确建设目标、重点内容、落实举措、评价方式和保障机制。学校主要负责同志要亲自抓方案落实。各职能部门、院系要认真履行职责，推动本科教育工作各项部署落细落小落实。</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三、全面整顿教育教学秩序，严格本科教育教学过程管理 </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加强学习过程管理。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4.强化教师教学主体责任。要制定教授给本科生上课的专门管理规定，确保教授全员给本科生上课。要严格执行师德师风一票否决制，对于师德表现失范的，要依法依规严肃处理。要进一步修订完善教师评价考核制度，把教学质量作为教师专业技术职务评聘、绩效考核的主要依据，在教师专业技术职务晋升中施行本科教学工作考评一票否决制。</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四、紧紧抓住核心环节，加快构建振兴本科的长效机制和制度保障 </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五、大力推广典型经验，努力形成振兴本科的良好氛围和全局效应 </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1.深入开展改革试点。各地教育行政部门、各高校要加强顶层设计，创新观念理念，积极开展改革试点，逐步积累改革经验，不断形成建设高水平本科教育的新理念、新标准、新路径、新机制、新文化。</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pPr>
        <w:widowControl/>
        <w:shd w:val="clear" w:color="auto" w:fill="FFFFFF"/>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请各地教育行政部门、各高校于2018年年底前将学习贯彻工作方案和落实情况报告我部，我部将对各地各高校贯彻落实情况适时开展督导检查。</w:t>
      </w:r>
    </w:p>
    <w:p>
      <w:pPr>
        <w:widowControl/>
        <w:shd w:val="clear" w:color="auto" w:fill="FFFFFF"/>
        <w:spacing w:line="360" w:lineRule="auto"/>
        <w:jc w:val="right"/>
        <w:rPr>
          <w:rFonts w:cs="宋体" w:asciiTheme="minorEastAsia" w:hAnsiTheme="minorEastAsia"/>
          <w:color w:val="4B4B4B"/>
          <w:kern w:val="0"/>
          <w:sz w:val="24"/>
          <w:szCs w:val="24"/>
        </w:rPr>
      </w:pPr>
    </w:p>
    <w:p>
      <w:pPr>
        <w:widowControl/>
        <w:shd w:val="clear" w:color="auto" w:fill="FFFFFF"/>
        <w:spacing w:line="360" w:lineRule="auto"/>
        <w:jc w:val="right"/>
        <w:rPr>
          <w:rFonts w:cs="宋体" w:asciiTheme="minorEastAsia" w:hAnsiTheme="minorEastAsia"/>
          <w:color w:val="4B4B4B"/>
          <w:kern w:val="0"/>
          <w:sz w:val="24"/>
          <w:szCs w:val="24"/>
        </w:rPr>
      </w:pPr>
    </w:p>
    <w:p>
      <w:pPr>
        <w:widowControl/>
        <w:shd w:val="clear" w:color="auto" w:fill="FFFFFF"/>
        <w:spacing w:line="360" w:lineRule="auto"/>
        <w:ind w:right="720"/>
        <w:jc w:val="righ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教育部</w:t>
      </w:r>
    </w:p>
    <w:p>
      <w:pPr>
        <w:widowControl/>
        <w:shd w:val="clear" w:color="auto" w:fill="FFFFFF"/>
        <w:spacing w:line="360" w:lineRule="auto"/>
        <w:jc w:val="righ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2018年8月22日</w:t>
      </w:r>
    </w:p>
    <w:p>
      <w:pPr>
        <w:spacing w:line="360" w:lineRule="auto"/>
        <w:rPr>
          <w:rFonts w:asciiTheme="minorEastAsia" w:hAnsiTheme="minorEastAsia"/>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snapToGrid w:val="0"/>
        <w:spacing w:line="560" w:lineRule="exact"/>
        <w:jc w:val="left"/>
        <w:rPr>
          <w:rFonts w:cs="宋体" w:asciiTheme="majorEastAsia" w:hAnsiTheme="majorEastAsia" w:eastAsiaTheme="majorEastAsia"/>
          <w:b/>
          <w:vanish/>
          <w:kern w:val="0"/>
          <w:sz w:val="32"/>
          <w:szCs w:val="32"/>
        </w:rPr>
      </w:pPr>
      <w:r>
        <w:rPr>
          <w:rFonts w:cs="宋体" w:asciiTheme="majorEastAsia" w:hAnsiTheme="majorEastAsia" w:eastAsiaTheme="majorEastAsia"/>
          <w:b/>
          <w:vanish/>
          <w:kern w:val="0"/>
          <w:sz w:val="32"/>
          <w:szCs w:val="32"/>
        </w:rPr>
        <w:t>信息公开_部文</w:t>
      </w:r>
    </w:p>
    <w:p>
      <w:pPr>
        <w:widowControl/>
        <w:shd w:val="clear" w:color="auto" w:fill="FFFFFF"/>
        <w:snapToGrid w:val="0"/>
        <w:spacing w:line="560" w:lineRule="exact"/>
        <w:jc w:val="center"/>
        <w:rPr>
          <w:rFonts w:cs="宋体" w:asciiTheme="majorEastAsia" w:hAnsiTheme="majorEastAsia" w:eastAsiaTheme="majorEastAsia"/>
          <w:b/>
          <w:bCs/>
          <w:color w:val="4B4B4B"/>
          <w:kern w:val="36"/>
          <w:sz w:val="32"/>
          <w:szCs w:val="32"/>
        </w:rPr>
      </w:pPr>
      <w:r>
        <w:rPr>
          <w:rFonts w:hint="eastAsia" w:cs="宋体" w:asciiTheme="majorEastAsia" w:hAnsiTheme="majorEastAsia" w:eastAsiaTheme="majorEastAsia"/>
          <w:b/>
          <w:bCs/>
          <w:color w:val="4B4B4B"/>
          <w:kern w:val="36"/>
          <w:sz w:val="32"/>
          <w:szCs w:val="32"/>
        </w:rPr>
        <w:t>教育部关于加快建设高水平本科教育</w:t>
      </w:r>
    </w:p>
    <w:p>
      <w:pPr>
        <w:widowControl/>
        <w:shd w:val="clear" w:color="auto" w:fill="FFFFFF"/>
        <w:snapToGrid w:val="0"/>
        <w:spacing w:line="560" w:lineRule="exact"/>
        <w:jc w:val="center"/>
        <w:rPr>
          <w:rFonts w:cs="宋体" w:asciiTheme="majorEastAsia" w:hAnsiTheme="majorEastAsia" w:eastAsiaTheme="majorEastAsia"/>
          <w:b/>
          <w:bCs/>
          <w:color w:val="4B4B4B"/>
          <w:kern w:val="36"/>
          <w:sz w:val="32"/>
          <w:szCs w:val="32"/>
        </w:rPr>
      </w:pPr>
      <w:r>
        <w:rPr>
          <w:rFonts w:hint="eastAsia" w:cs="宋体" w:asciiTheme="majorEastAsia" w:hAnsiTheme="majorEastAsia" w:eastAsiaTheme="majorEastAsia"/>
          <w:b/>
          <w:bCs/>
          <w:color w:val="4B4B4B"/>
          <w:kern w:val="36"/>
          <w:sz w:val="32"/>
          <w:szCs w:val="32"/>
        </w:rPr>
        <w:t>全面提高人才培养能力的意见</w:t>
      </w:r>
    </w:p>
    <w:p>
      <w:pPr>
        <w:widowControl/>
        <w:shd w:val="clear" w:color="auto" w:fill="FFFFFF"/>
        <w:snapToGrid w:val="0"/>
        <w:spacing w:line="560" w:lineRule="exact"/>
        <w:jc w:val="center"/>
        <w:rPr>
          <w:rFonts w:cs="宋体" w:asciiTheme="minorEastAsia" w:hAnsiTheme="minorEastAsia"/>
          <w:b/>
          <w:bCs/>
          <w:color w:val="4B4B4B"/>
          <w:kern w:val="0"/>
          <w:sz w:val="28"/>
          <w:szCs w:val="28"/>
        </w:rPr>
      </w:pPr>
      <w:r>
        <w:rPr>
          <w:rFonts w:hint="eastAsia" w:cs="宋体" w:asciiTheme="minorEastAsia" w:hAnsiTheme="minorEastAsia"/>
          <w:b/>
          <w:bCs/>
          <w:color w:val="4B4B4B"/>
          <w:kern w:val="0"/>
          <w:sz w:val="28"/>
          <w:szCs w:val="28"/>
        </w:rPr>
        <w:t>教高〔2018〕2号</w:t>
      </w:r>
    </w:p>
    <w:p>
      <w:pPr>
        <w:widowControl/>
        <w:shd w:val="clear" w:color="auto" w:fill="FFFFFF"/>
        <w:snapToGrid w:val="0"/>
        <w:spacing w:line="560" w:lineRule="exact"/>
        <w:jc w:val="center"/>
        <w:rPr>
          <w:rFonts w:cs="宋体" w:asciiTheme="minorEastAsia" w:hAnsiTheme="minorEastAsia"/>
          <w:b/>
          <w:bCs/>
          <w:color w:val="4B4B4B"/>
          <w:kern w:val="36"/>
          <w:sz w:val="28"/>
          <w:szCs w:val="28"/>
        </w:rPr>
      </w:pPr>
    </w:p>
    <w:p>
      <w:pPr>
        <w:widowControl/>
        <w:shd w:val="clear" w:color="auto" w:fill="FFFFFF"/>
        <w:snapToGrid w:val="0"/>
        <w:spacing w:line="360" w:lineRule="auto"/>
        <w:jc w:val="right"/>
        <w:rPr>
          <w:rFonts w:cs="宋体" w:asciiTheme="minorEastAsia" w:hAnsiTheme="minorEastAsia"/>
          <w:b/>
          <w:bCs/>
          <w:vanish/>
          <w:color w:val="4B4B4B"/>
          <w:kern w:val="0"/>
          <w:sz w:val="24"/>
          <w:szCs w:val="24"/>
        </w:rPr>
      </w:pPr>
      <w:r>
        <w:rPr>
          <w:rFonts w:hint="eastAsia" w:cs="宋体" w:asciiTheme="minorEastAsia" w:hAnsiTheme="minorEastAsia"/>
          <w:b/>
          <w:bCs/>
          <w:vanish/>
          <w:color w:val="4B4B4B"/>
          <w:kern w:val="0"/>
          <w:sz w:val="24"/>
          <w:szCs w:val="24"/>
        </w:rPr>
        <w:t>教高〔2018〕2号</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各省、自治区、直辖市教育厅（教委），新疆生产建设兵团教育局，有关部门（单位）教育司（局），部属各高等学校、部省合建各高等学校：</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b/>
          <w:bCs/>
          <w:color w:val="4B4B4B"/>
          <w:kern w:val="0"/>
          <w:sz w:val="24"/>
          <w:szCs w:val="24"/>
        </w:rPr>
        <w:t xml:space="preserve">一、建设高水平本科教育的重要意义和形势要求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二、建设高水平本科教育的指导思想和目标原则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5.基本原则。</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坚持立德树人，德育为先。把立德树人内化到大学建设和管理各领域、各方面、各环节，坚持以文化人、以德育人，不断提高学生思想水平、政治觉悟、道德品质、文化素养，教育学生明大德、守公德、严私德。</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坚持学生中心，全面发展。以促进学生全面发展为中心，既注重“教得好”，更注重“学得好”，激发学生学习兴趣和潜能，激励学生爱国、励志、求真、力行，增强学生的社会责任感、创新精神和实践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坚持服务需求，成效导向。主动对接经济社会发展需求，优化专业结构，完善课程体系，更新教学内容，改进教学方法，切实提高高校人才培养的目标达成度、社会适应度、条件保障度、质保有效度和结果满意度。</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坚持完善机制，持续改进。以创新人才培养机制为重点，形成招生、培养与就业联动机制，完善专业动态调整机制，健全协同育人机制，优化实践育人机制，强化质量评价保障机制，形成人才培养质量持续改进机制。</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——坚持分类指导，特色发展。推动高校分类发展，引导各类高校发挥办学优势，在不同领域各展所长，建设优势特色专业，提高创新型、复合型、应用型人才培养质量，形成全局性改革成果。</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三、把思想政治教育贯穿高水平本科教育全过程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四、围绕激发学生学习兴趣和潜能深化教学改革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五、全面提高教师教书育人能力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六、大力推进一流专业建设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七、推进现代信息技术与教育教学深度融合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八、构建全方位全过程深融合的协同育人新机制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九、加强大学质量文化建设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　　十、切实做好高水平本科教育建设工作的组织实施 </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pPr>
        <w:widowControl/>
        <w:shd w:val="clear" w:color="auto" w:fill="FFFFFF"/>
        <w:snapToGrid w:val="0"/>
        <w:spacing w:line="360" w:lineRule="auto"/>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pPr>
        <w:widowControl/>
        <w:shd w:val="clear" w:color="auto" w:fill="FFFFFF"/>
        <w:snapToGrid w:val="0"/>
        <w:spacing w:line="360" w:lineRule="auto"/>
        <w:ind w:right="720"/>
        <w:jc w:val="righ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教育部</w:t>
      </w:r>
    </w:p>
    <w:p>
      <w:pPr>
        <w:widowControl/>
        <w:shd w:val="clear" w:color="auto" w:fill="FFFFFF"/>
        <w:snapToGrid w:val="0"/>
        <w:spacing w:line="360" w:lineRule="auto"/>
        <w:jc w:val="righ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2018年9月17日</w:t>
      </w:r>
    </w:p>
    <w:p>
      <w:pPr>
        <w:snapToGrid w:val="0"/>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ind w:firstLine="643" w:firstLineChars="200"/>
        <w:jc w:val="center"/>
        <w:rPr>
          <w:rFonts w:ascii="宋体" w:hAnsi="宋体"/>
          <w:b/>
          <w:sz w:val="32"/>
          <w:szCs w:val="32"/>
        </w:rPr>
      </w:pPr>
      <w:r>
        <w:rPr>
          <w:rFonts w:hint="eastAsia" w:ascii="宋体" w:hAnsi="宋体"/>
          <w:b/>
          <w:sz w:val="32"/>
          <w:szCs w:val="32"/>
        </w:rPr>
        <w:t>内江师范学院</w:t>
      </w:r>
    </w:p>
    <w:p>
      <w:pPr>
        <w:spacing w:line="560" w:lineRule="exact"/>
        <w:ind w:firstLine="643" w:firstLineChars="200"/>
        <w:jc w:val="center"/>
        <w:rPr>
          <w:rFonts w:ascii="宋体" w:hAnsi="宋体"/>
          <w:b/>
          <w:sz w:val="32"/>
          <w:szCs w:val="32"/>
        </w:rPr>
      </w:pPr>
      <w:r>
        <w:rPr>
          <w:rFonts w:hint="eastAsia" w:ascii="宋体" w:hAnsi="宋体"/>
          <w:b/>
          <w:sz w:val="32"/>
          <w:szCs w:val="32"/>
        </w:rPr>
        <w:t>专业建设与本科人才培养“十三五”事业发展规划</w:t>
      </w:r>
    </w:p>
    <w:p>
      <w:pPr>
        <w:spacing w:line="560" w:lineRule="exact"/>
        <w:ind w:firstLine="562" w:firstLineChars="200"/>
        <w:jc w:val="center"/>
        <w:rPr>
          <w:rFonts w:ascii="宋体" w:hAnsi="宋体"/>
          <w:b/>
          <w:sz w:val="28"/>
          <w:szCs w:val="28"/>
        </w:rPr>
      </w:pPr>
      <w:r>
        <w:rPr>
          <w:rFonts w:hint="eastAsia" w:ascii="宋体" w:hAnsi="宋体"/>
          <w:b/>
          <w:sz w:val="28"/>
          <w:szCs w:val="28"/>
        </w:rPr>
        <w:t>（2016—2020年）</w:t>
      </w:r>
    </w:p>
    <w:p>
      <w:pPr>
        <w:spacing w:before="156" w:beforeLines="50" w:after="156" w:afterLines="50" w:line="560" w:lineRule="exact"/>
        <w:jc w:val="center"/>
        <w:rPr>
          <w:rFonts w:hint="eastAsia" w:ascii="宋体" w:hAnsi="宋体"/>
          <w:b/>
          <w:sz w:val="28"/>
          <w:szCs w:val="28"/>
        </w:rPr>
      </w:pPr>
    </w:p>
    <w:p>
      <w:pPr>
        <w:spacing w:line="360" w:lineRule="auto"/>
        <w:ind w:firstLine="480" w:firstLineChars="200"/>
        <w:rPr>
          <w:rFonts w:ascii="宋体" w:hAnsi="宋体"/>
          <w:sz w:val="24"/>
        </w:rPr>
      </w:pPr>
      <w:r>
        <w:rPr>
          <w:rFonts w:hint="eastAsia" w:ascii="宋体" w:hAnsi="宋体"/>
          <w:sz w:val="24"/>
        </w:rPr>
        <w:t>人才培养是学校的根本工作，专业建设水平决定着高校人才培养的质量和水平。为主动适应地方经济、社会发展对人才培养的新要求，根据《内江师范学院“十三五”事业发展规划》的总体目标，特制定本规划。</w:t>
      </w:r>
    </w:p>
    <w:p>
      <w:pPr>
        <w:spacing w:line="360" w:lineRule="auto"/>
        <w:ind w:firstLine="482" w:firstLineChars="200"/>
        <w:rPr>
          <w:rFonts w:ascii="宋体" w:hAnsi="宋体"/>
          <w:b/>
          <w:sz w:val="24"/>
        </w:rPr>
      </w:pPr>
      <w:r>
        <w:rPr>
          <w:rFonts w:hint="eastAsia" w:ascii="宋体" w:hAnsi="宋体"/>
          <w:b/>
          <w:sz w:val="24"/>
        </w:rPr>
        <w:t>一、专业建设与本科人才培养“十三五”规划的基础与背景</w:t>
      </w:r>
    </w:p>
    <w:p>
      <w:pPr>
        <w:spacing w:line="360" w:lineRule="auto"/>
        <w:ind w:firstLine="480" w:firstLineChars="200"/>
        <w:rPr>
          <w:rFonts w:ascii="宋体" w:hAnsi="宋体"/>
          <w:sz w:val="24"/>
        </w:rPr>
      </w:pPr>
      <w:bookmarkStart w:id="0" w:name="_Toc434498121"/>
      <w:bookmarkStart w:id="1" w:name="_Toc450720085"/>
      <w:r>
        <w:rPr>
          <w:rFonts w:hint="eastAsia" w:ascii="宋体" w:hAnsi="宋体"/>
          <w:sz w:val="24"/>
        </w:rPr>
        <w:t>（一）“十二五”取得的成绩</w:t>
      </w:r>
      <w:bookmarkEnd w:id="0"/>
      <w:bookmarkEnd w:id="1"/>
    </w:p>
    <w:p>
      <w:pPr>
        <w:spacing w:line="360" w:lineRule="auto"/>
        <w:ind w:firstLine="480" w:firstLineChars="200"/>
        <w:rPr>
          <w:rFonts w:ascii="宋体" w:hAnsi="宋体"/>
          <w:sz w:val="24"/>
        </w:rPr>
      </w:pPr>
      <w:r>
        <w:rPr>
          <w:rFonts w:hint="eastAsia" w:ascii="宋体" w:hAnsi="宋体"/>
          <w:sz w:val="24"/>
        </w:rPr>
        <w:t>“十二五”期间，学校坚持走内涵发展道路，不断深化教育教学改革，</w:t>
      </w:r>
      <w:r>
        <w:rPr>
          <w:rFonts w:ascii="宋体" w:hAnsi="宋体"/>
          <w:sz w:val="24"/>
        </w:rPr>
        <w:t>专业结构与</w:t>
      </w:r>
      <w:r>
        <w:rPr>
          <w:rFonts w:hint="eastAsia" w:ascii="宋体" w:hAnsi="宋体"/>
          <w:sz w:val="24"/>
        </w:rPr>
        <w:t>布局得到了进一步优化，师资队伍、课程、教材、图书资料、实验室、实践教学基地等教学基本建设得到了加强，较好地适应了高等教育大众化和经济社会发展的需要。</w:t>
      </w:r>
    </w:p>
    <w:p>
      <w:pPr>
        <w:spacing w:line="360" w:lineRule="auto"/>
        <w:ind w:firstLine="480" w:firstLineChars="200"/>
        <w:rPr>
          <w:rFonts w:ascii="宋体" w:hAnsi="宋体"/>
          <w:sz w:val="24"/>
        </w:rPr>
      </w:pPr>
      <w:r>
        <w:rPr>
          <w:rFonts w:hint="eastAsia" w:ascii="宋体" w:hAnsi="宋体"/>
          <w:sz w:val="24"/>
        </w:rPr>
        <w:t>1、学科门类与专业数量</w:t>
      </w:r>
    </w:p>
    <w:p>
      <w:pPr>
        <w:spacing w:line="360" w:lineRule="auto"/>
        <w:ind w:firstLine="480" w:firstLineChars="200"/>
        <w:rPr>
          <w:rFonts w:ascii="宋体" w:hAnsi="宋体"/>
          <w:sz w:val="24"/>
        </w:rPr>
      </w:pPr>
      <w:r>
        <w:rPr>
          <w:rFonts w:ascii="宋体" w:hAnsi="宋体"/>
          <w:sz w:val="24"/>
        </w:rPr>
        <w:t>我校现有本科专业</w:t>
      </w:r>
      <w:r>
        <w:rPr>
          <w:rFonts w:hint="eastAsia" w:ascii="宋体" w:hAnsi="宋体"/>
          <w:sz w:val="24"/>
        </w:rPr>
        <w:t>56</w:t>
      </w:r>
      <w:r>
        <w:rPr>
          <w:rFonts w:ascii="宋体" w:hAnsi="宋体"/>
          <w:sz w:val="24"/>
        </w:rPr>
        <w:t>个，涉及</w:t>
      </w:r>
      <w:r>
        <w:rPr>
          <w:rFonts w:hint="eastAsia" w:ascii="宋体" w:hAnsi="宋体"/>
          <w:sz w:val="24"/>
        </w:rPr>
        <w:t>10</w:t>
      </w:r>
      <w:r>
        <w:rPr>
          <w:rFonts w:ascii="宋体" w:hAnsi="宋体"/>
          <w:sz w:val="24"/>
        </w:rPr>
        <w:t>个学科门类，其中</w:t>
      </w:r>
      <w:r>
        <w:rPr>
          <w:rFonts w:hint="eastAsia" w:ascii="宋体" w:hAnsi="宋体"/>
          <w:sz w:val="24"/>
        </w:rPr>
        <w:t>经济学类2个、法学类2个、教育学类6个、</w:t>
      </w:r>
      <w:r>
        <w:rPr>
          <w:rFonts w:ascii="宋体" w:hAnsi="宋体"/>
          <w:sz w:val="24"/>
        </w:rPr>
        <w:t>文学类</w:t>
      </w:r>
      <w:r>
        <w:rPr>
          <w:rFonts w:hint="eastAsia" w:ascii="宋体" w:hAnsi="宋体"/>
          <w:sz w:val="24"/>
        </w:rPr>
        <w:t>5</w:t>
      </w:r>
      <w:r>
        <w:rPr>
          <w:rFonts w:ascii="宋体" w:hAnsi="宋体"/>
          <w:sz w:val="24"/>
        </w:rPr>
        <w:t>个、</w:t>
      </w:r>
      <w:r>
        <w:rPr>
          <w:rFonts w:hint="eastAsia" w:ascii="宋体" w:hAnsi="宋体"/>
          <w:sz w:val="24"/>
        </w:rPr>
        <w:t>历史学类1个、</w:t>
      </w:r>
      <w:r>
        <w:rPr>
          <w:rFonts w:ascii="宋体" w:hAnsi="宋体"/>
          <w:sz w:val="24"/>
        </w:rPr>
        <w:t>理学类</w:t>
      </w:r>
      <w:r>
        <w:rPr>
          <w:rFonts w:hint="eastAsia" w:ascii="宋体" w:hAnsi="宋体"/>
          <w:sz w:val="24"/>
        </w:rPr>
        <w:t>12</w:t>
      </w:r>
      <w:r>
        <w:rPr>
          <w:rFonts w:ascii="宋体" w:hAnsi="宋体"/>
          <w:sz w:val="24"/>
        </w:rPr>
        <w:t>个、工学类</w:t>
      </w:r>
      <w:r>
        <w:rPr>
          <w:rFonts w:hint="eastAsia" w:ascii="宋体" w:hAnsi="宋体"/>
          <w:sz w:val="24"/>
        </w:rPr>
        <w:t>9</w:t>
      </w:r>
      <w:r>
        <w:rPr>
          <w:rFonts w:ascii="宋体" w:hAnsi="宋体"/>
          <w:sz w:val="24"/>
        </w:rPr>
        <w:t>个、</w:t>
      </w:r>
      <w:r>
        <w:rPr>
          <w:rFonts w:hint="eastAsia" w:ascii="宋体" w:hAnsi="宋体"/>
          <w:sz w:val="24"/>
        </w:rPr>
        <w:t>农学类1个、</w:t>
      </w:r>
      <w:r>
        <w:rPr>
          <w:rFonts w:ascii="宋体" w:hAnsi="宋体"/>
          <w:sz w:val="24"/>
        </w:rPr>
        <w:t>管理学类</w:t>
      </w:r>
      <w:r>
        <w:rPr>
          <w:rFonts w:hint="eastAsia" w:ascii="宋体" w:hAnsi="宋体"/>
          <w:sz w:val="24"/>
        </w:rPr>
        <w:t>7</w:t>
      </w:r>
      <w:r>
        <w:rPr>
          <w:rFonts w:ascii="宋体" w:hAnsi="宋体"/>
          <w:sz w:val="24"/>
        </w:rPr>
        <w:t>个，</w:t>
      </w:r>
      <w:r>
        <w:rPr>
          <w:rFonts w:hint="eastAsia" w:ascii="宋体" w:hAnsi="宋体"/>
          <w:sz w:val="24"/>
        </w:rPr>
        <w:t>艺术</w:t>
      </w:r>
      <w:r>
        <w:rPr>
          <w:rFonts w:ascii="宋体" w:hAnsi="宋体"/>
          <w:sz w:val="24"/>
        </w:rPr>
        <w:t>学类1</w:t>
      </w:r>
      <w:r>
        <w:rPr>
          <w:rFonts w:hint="eastAsia" w:ascii="宋体" w:hAnsi="宋体"/>
          <w:sz w:val="24"/>
        </w:rPr>
        <w:t>1</w:t>
      </w:r>
      <w:r>
        <w:rPr>
          <w:rFonts w:ascii="宋体" w:hAnsi="宋体"/>
          <w:sz w:val="24"/>
        </w:rPr>
        <w:t>个。</w:t>
      </w:r>
    </w:p>
    <w:p>
      <w:pPr>
        <w:spacing w:line="360" w:lineRule="auto"/>
        <w:ind w:firstLine="480" w:firstLineChars="200"/>
        <w:rPr>
          <w:rFonts w:ascii="宋体" w:hAnsi="宋体"/>
          <w:sz w:val="24"/>
        </w:rPr>
      </w:pPr>
      <w:r>
        <w:rPr>
          <w:rFonts w:hint="eastAsia" w:ascii="宋体" w:hAnsi="宋体"/>
          <w:sz w:val="24"/>
        </w:rPr>
        <w:t>2、专业类型与结构</w:t>
      </w:r>
    </w:p>
    <w:p>
      <w:pPr>
        <w:spacing w:line="360" w:lineRule="auto"/>
        <w:ind w:firstLine="480" w:firstLineChars="200"/>
        <w:rPr>
          <w:rFonts w:ascii="宋体" w:hAnsi="宋体"/>
          <w:sz w:val="24"/>
        </w:rPr>
      </w:pPr>
      <w:r>
        <w:rPr>
          <w:rFonts w:hint="eastAsia" w:ascii="宋体" w:hAnsi="宋体"/>
          <w:sz w:val="24"/>
        </w:rPr>
        <w:t>在56</w:t>
      </w:r>
      <w:r>
        <w:rPr>
          <w:rFonts w:ascii="宋体" w:hAnsi="宋体"/>
          <w:sz w:val="24"/>
        </w:rPr>
        <w:t>个本科专业中</w:t>
      </w:r>
      <w:r>
        <w:rPr>
          <w:rFonts w:hint="eastAsia" w:ascii="宋体" w:hAnsi="宋体"/>
          <w:sz w:val="24"/>
        </w:rPr>
        <w:t>，师范</w:t>
      </w:r>
      <w:r>
        <w:rPr>
          <w:rFonts w:ascii="宋体" w:hAnsi="宋体"/>
          <w:sz w:val="24"/>
        </w:rPr>
        <w:t>专业</w:t>
      </w:r>
      <w:r>
        <w:rPr>
          <w:rFonts w:hint="eastAsia" w:ascii="宋体" w:hAnsi="宋体"/>
          <w:sz w:val="24"/>
        </w:rPr>
        <w:t>5</w:t>
      </w:r>
      <w:r>
        <w:rPr>
          <w:rFonts w:ascii="宋体" w:hAnsi="宋体"/>
          <w:sz w:val="24"/>
        </w:rPr>
        <w:t>个，</w:t>
      </w:r>
      <w:r>
        <w:rPr>
          <w:rFonts w:hint="eastAsia" w:ascii="宋体" w:hAnsi="宋体"/>
          <w:sz w:val="24"/>
        </w:rPr>
        <w:t>师范兼非师范专业12个，具有师范背景的专业</w:t>
      </w:r>
      <w:r>
        <w:rPr>
          <w:rFonts w:ascii="宋体" w:hAnsi="宋体"/>
          <w:sz w:val="24"/>
        </w:rPr>
        <w:t>占专业总数的</w:t>
      </w:r>
      <w:r>
        <w:rPr>
          <w:rFonts w:hint="eastAsia" w:ascii="宋体" w:hAnsi="宋体"/>
          <w:sz w:val="24"/>
        </w:rPr>
        <w:t>30.4</w:t>
      </w:r>
      <w:r>
        <w:rPr>
          <w:rFonts w:ascii="宋体" w:hAnsi="宋体"/>
          <w:sz w:val="24"/>
        </w:rPr>
        <w:t>%</w:t>
      </w:r>
      <w:r>
        <w:rPr>
          <w:rFonts w:hint="eastAsia" w:ascii="宋体" w:hAnsi="宋体"/>
          <w:sz w:val="24"/>
        </w:rPr>
        <w:t>；应用型</w:t>
      </w:r>
      <w:r>
        <w:rPr>
          <w:rFonts w:ascii="宋体" w:hAnsi="宋体"/>
          <w:sz w:val="24"/>
        </w:rPr>
        <w:t>专业</w:t>
      </w:r>
      <w:r>
        <w:rPr>
          <w:rFonts w:hint="eastAsia" w:ascii="宋体" w:hAnsi="宋体"/>
          <w:sz w:val="24"/>
        </w:rPr>
        <w:t>39</w:t>
      </w:r>
      <w:r>
        <w:rPr>
          <w:rFonts w:ascii="宋体" w:hAnsi="宋体"/>
          <w:sz w:val="24"/>
        </w:rPr>
        <w:t>个，占专业总数的</w:t>
      </w:r>
      <w:r>
        <w:rPr>
          <w:rFonts w:hint="eastAsia" w:ascii="宋体" w:hAnsi="宋体"/>
          <w:sz w:val="24"/>
        </w:rPr>
        <w:t>69.6</w:t>
      </w:r>
      <w:r>
        <w:rPr>
          <w:rFonts w:ascii="宋体" w:hAnsi="宋体"/>
          <w:sz w:val="24"/>
        </w:rPr>
        <w:t>%，</w:t>
      </w:r>
      <w:r>
        <w:rPr>
          <w:rFonts w:hint="eastAsia" w:ascii="宋体" w:hAnsi="宋体"/>
          <w:sz w:val="24"/>
        </w:rPr>
        <w:t>应用型</w:t>
      </w:r>
      <w:r>
        <w:rPr>
          <w:rFonts w:ascii="宋体" w:hAnsi="宋体"/>
          <w:sz w:val="24"/>
        </w:rPr>
        <w:t>专业</w:t>
      </w:r>
      <w:r>
        <w:rPr>
          <w:rFonts w:hint="eastAsia" w:ascii="宋体" w:hAnsi="宋体"/>
          <w:sz w:val="24"/>
        </w:rPr>
        <w:t>已经</w:t>
      </w:r>
      <w:r>
        <w:rPr>
          <w:rFonts w:ascii="宋体" w:hAnsi="宋体"/>
          <w:sz w:val="24"/>
        </w:rPr>
        <w:t>成为</w:t>
      </w:r>
      <w:r>
        <w:rPr>
          <w:rFonts w:hint="eastAsia" w:ascii="宋体" w:hAnsi="宋体"/>
          <w:sz w:val="24"/>
        </w:rPr>
        <w:t>学校</w:t>
      </w:r>
      <w:r>
        <w:rPr>
          <w:rFonts w:ascii="宋体" w:hAnsi="宋体"/>
          <w:sz w:val="24"/>
        </w:rPr>
        <w:t>专业</w:t>
      </w:r>
      <w:r>
        <w:rPr>
          <w:rFonts w:hint="eastAsia" w:ascii="宋体" w:hAnsi="宋体"/>
          <w:sz w:val="24"/>
        </w:rPr>
        <w:t>的</w:t>
      </w:r>
      <w:r>
        <w:rPr>
          <w:rFonts w:ascii="宋体" w:hAnsi="宋体"/>
          <w:sz w:val="24"/>
        </w:rPr>
        <w:t>主体。</w:t>
      </w:r>
      <w:r>
        <w:rPr>
          <w:rFonts w:hint="eastAsia" w:ascii="宋体" w:hAnsi="宋体"/>
          <w:sz w:val="24"/>
        </w:rPr>
        <w:t>应用型</w:t>
      </w:r>
      <w:r>
        <w:rPr>
          <w:rFonts w:ascii="宋体" w:hAnsi="宋体"/>
          <w:sz w:val="24"/>
        </w:rPr>
        <w:t>专业多数为近几年新设置</w:t>
      </w:r>
      <w:r>
        <w:rPr>
          <w:rFonts w:hint="eastAsia" w:ascii="宋体" w:hAnsi="宋体"/>
          <w:sz w:val="24"/>
        </w:rPr>
        <w:t>的，</w:t>
      </w:r>
      <w:r>
        <w:rPr>
          <w:rFonts w:ascii="宋体" w:hAnsi="宋体"/>
          <w:sz w:val="24"/>
        </w:rPr>
        <w:t>适应国家、区域、地方经济发展所需的新兴、交叉、</w:t>
      </w:r>
      <w:r>
        <w:rPr>
          <w:rFonts w:hint="eastAsia" w:ascii="宋体" w:hAnsi="宋体"/>
          <w:sz w:val="24"/>
        </w:rPr>
        <w:t>特色</w:t>
      </w:r>
      <w:r>
        <w:rPr>
          <w:rFonts w:ascii="宋体" w:hAnsi="宋体"/>
          <w:sz w:val="24"/>
        </w:rPr>
        <w:t>专业</w:t>
      </w:r>
      <w:r>
        <w:rPr>
          <w:rFonts w:hint="eastAsia" w:ascii="宋体" w:hAnsi="宋体"/>
          <w:sz w:val="24"/>
        </w:rPr>
        <w:t>。</w:t>
      </w:r>
    </w:p>
    <w:p>
      <w:pPr>
        <w:widowControl/>
        <w:spacing w:line="360" w:lineRule="auto"/>
        <w:ind w:firstLine="480" w:firstLineChars="200"/>
        <w:jc w:val="left"/>
        <w:rPr>
          <w:rFonts w:ascii="宋体" w:hAnsi="宋体"/>
          <w:sz w:val="24"/>
        </w:rPr>
      </w:pPr>
      <w:bookmarkStart w:id="2" w:name="_Toc434498122"/>
      <w:bookmarkStart w:id="3" w:name="_Toc450720086"/>
      <w:r>
        <w:rPr>
          <w:rFonts w:hint="eastAsia" w:ascii="宋体" w:hAnsi="宋体"/>
          <w:sz w:val="24"/>
        </w:rPr>
        <w:t>3、人才培养模式改革</w:t>
      </w:r>
    </w:p>
    <w:p>
      <w:pPr>
        <w:widowControl/>
        <w:spacing w:line="360" w:lineRule="auto"/>
        <w:ind w:firstLine="480" w:firstLineChars="200"/>
        <w:jc w:val="left"/>
        <w:rPr>
          <w:rFonts w:ascii="宋体" w:hAnsi="宋体"/>
          <w:sz w:val="24"/>
        </w:rPr>
      </w:pPr>
      <w:r>
        <w:rPr>
          <w:rFonts w:hint="eastAsia" w:ascii="宋体" w:hAnsi="宋体"/>
          <w:sz w:val="24"/>
        </w:rPr>
        <w:t>学校适应办学类型的转变和办学规模的大发展，推行“以发展为中心，教学做统一”育人模式改革。根据应用型人才培养需求，进一步完善人才培养方案，初步实现了按大类招生、分段分流分层教学，强化专业人才培养特色及个性化培养，加大选修课程开设比例，拓宽学生自主学习空间，满足了学生个性发展、多样发展的需求。结合专业、课程的特点，探索“五强化”的课堂教学改革，调动了学生的学习积极性，为教学质量的提高起到了积极作用。</w:t>
      </w:r>
    </w:p>
    <w:p>
      <w:pPr>
        <w:widowControl/>
        <w:spacing w:line="360" w:lineRule="auto"/>
        <w:ind w:firstLine="480" w:firstLineChars="200"/>
        <w:jc w:val="left"/>
        <w:rPr>
          <w:rFonts w:ascii="宋体" w:hAnsi="宋体"/>
          <w:sz w:val="24"/>
        </w:rPr>
      </w:pPr>
      <w:r>
        <w:rPr>
          <w:rFonts w:hint="eastAsia" w:ascii="宋体" w:hAnsi="宋体"/>
          <w:sz w:val="24"/>
        </w:rPr>
        <w:t>4、“本科教学工程”建设与人才培养</w:t>
      </w:r>
    </w:p>
    <w:p>
      <w:pPr>
        <w:widowControl/>
        <w:spacing w:line="360" w:lineRule="auto"/>
        <w:ind w:firstLine="480" w:firstLineChars="200"/>
        <w:jc w:val="left"/>
        <w:rPr>
          <w:rFonts w:ascii="宋体" w:hAnsi="宋体"/>
          <w:sz w:val="24"/>
        </w:rPr>
      </w:pPr>
      <w:r>
        <w:rPr>
          <w:rFonts w:hint="eastAsia" w:ascii="宋体" w:hAnsi="宋体"/>
          <w:sz w:val="24"/>
        </w:rPr>
        <w:t>承担了国家级“本科教学工程”项目60项、省级“本科教学工程”项目85项的建设任务，承担省级教学改革项目13项，学校立项建设了231项“本科教学工程”项目、近150项教学改革项目，投入专项建设经费近2800万元。专业建设综合改革取得较好成绩。数学与应用数学专业获得国家级专业综合改革试点项目立项，8个专业综合改革项目、6个卓越人才培养计划获得省级立项。作为四川省转型试点单位，数学与应用数学、软件工程、土木工程、水产养殖学、电子商务5个专业进行了专业转型的试点。</w:t>
      </w:r>
    </w:p>
    <w:p>
      <w:pPr>
        <w:spacing w:line="360" w:lineRule="auto"/>
        <w:ind w:firstLine="480" w:firstLineChars="200"/>
        <w:rPr>
          <w:rFonts w:ascii="宋体" w:hAnsi="宋体"/>
          <w:sz w:val="24"/>
        </w:rPr>
      </w:pPr>
      <w:r>
        <w:rPr>
          <w:rFonts w:hint="eastAsia" w:ascii="宋体" w:hAnsi="宋体"/>
          <w:sz w:val="24"/>
        </w:rPr>
        <w:t>（二）</w:t>
      </w:r>
      <w:bookmarkEnd w:id="2"/>
      <w:r>
        <w:rPr>
          <w:rFonts w:hint="eastAsia" w:ascii="宋体" w:hAnsi="宋体"/>
          <w:sz w:val="24"/>
        </w:rPr>
        <w:t>“十三五”面临的机遇与挑战</w:t>
      </w:r>
      <w:bookmarkEnd w:id="3"/>
    </w:p>
    <w:p>
      <w:pPr>
        <w:spacing w:line="360" w:lineRule="auto"/>
        <w:ind w:firstLine="480" w:firstLineChars="200"/>
        <w:rPr>
          <w:rFonts w:ascii="宋体" w:hAnsi="宋体"/>
          <w:sz w:val="24"/>
        </w:rPr>
      </w:pPr>
      <w:r>
        <w:rPr>
          <w:rFonts w:hint="eastAsia" w:ascii="宋体" w:hAnsi="宋体"/>
          <w:sz w:val="24"/>
        </w:rPr>
        <w:t>我国高等教育全面转向内涵建设的新阶段，质量和特色成为未来高校竞争的关键，内涵发展和特色发展压力空前。新校区的建设为学校的人才培养质量提升、专业建设与调整带来了机遇。学校专业建设与人才培养工作面临的问题主要有：教师队伍建设相对滞后，不能完全满足专业发展的要求；部分新办应用型专业教学条件建设有待加强；专业建设的整体水平有待提高；专业综合改革有待深入。</w:t>
      </w:r>
    </w:p>
    <w:p>
      <w:pPr>
        <w:spacing w:line="360" w:lineRule="auto"/>
        <w:ind w:firstLine="482" w:firstLineChars="200"/>
        <w:rPr>
          <w:rFonts w:ascii="宋体" w:hAnsi="宋体"/>
          <w:b/>
          <w:sz w:val="24"/>
        </w:rPr>
      </w:pPr>
      <w:r>
        <w:rPr>
          <w:rFonts w:hint="eastAsia" w:ascii="宋体" w:hAnsi="宋体"/>
          <w:b/>
          <w:sz w:val="24"/>
        </w:rPr>
        <w:t>二、指导思想与发展思路</w:t>
      </w:r>
      <w:bookmarkStart w:id="4" w:name="_Toc434498124"/>
      <w:bookmarkStart w:id="5" w:name="_Toc450720088"/>
    </w:p>
    <w:p>
      <w:pPr>
        <w:spacing w:line="360" w:lineRule="auto"/>
        <w:ind w:firstLine="480" w:firstLineChars="200"/>
        <w:rPr>
          <w:rFonts w:ascii="宋体" w:hAnsi="宋体"/>
          <w:sz w:val="24"/>
        </w:rPr>
      </w:pPr>
      <w:r>
        <w:rPr>
          <w:rFonts w:hint="eastAsia" w:ascii="宋体" w:hAnsi="宋体"/>
          <w:sz w:val="24"/>
        </w:rPr>
        <w:t>（一）指导思想</w:t>
      </w:r>
      <w:bookmarkEnd w:id="4"/>
      <w:bookmarkEnd w:id="5"/>
    </w:p>
    <w:p>
      <w:pPr>
        <w:spacing w:line="360" w:lineRule="auto"/>
        <w:ind w:firstLine="480" w:firstLineChars="200"/>
        <w:rPr>
          <w:rFonts w:ascii="宋体" w:hAnsi="宋体"/>
          <w:sz w:val="24"/>
        </w:rPr>
      </w:pPr>
      <w:r>
        <w:rPr>
          <w:rFonts w:hint="eastAsia" w:ascii="宋体" w:hAnsi="宋体"/>
          <w:sz w:val="24"/>
        </w:rPr>
        <w:t>高举中国特色社会主义伟大旗帜，以科学发展观为指导，深入学习贯彻习近平总书记系列重要讲话精神，牢固树立并切实践行创新、协调、绿色、开放、共享的发展理念，全面贯彻党的教育方针，遵循高等教育规律，推进现代大学制度建设和民主法治建设，坚持以立德树人为根本，以转型发展为主线，以社会需求为导向，以改革创新为动力，坚守大学人才培养第一要务，彰显办学特色，全面提高育人质量，不断推进学校科学发展、内涵发展、特色发展。</w:t>
      </w:r>
      <w:bookmarkStart w:id="6" w:name="_Toc450720089"/>
      <w:bookmarkStart w:id="7" w:name="_Toc434498125"/>
    </w:p>
    <w:p>
      <w:pPr>
        <w:spacing w:line="360" w:lineRule="auto"/>
        <w:ind w:firstLine="480" w:firstLineChars="200"/>
        <w:rPr>
          <w:rFonts w:ascii="宋体" w:hAnsi="宋体"/>
          <w:sz w:val="24"/>
        </w:rPr>
      </w:pPr>
      <w:r>
        <w:rPr>
          <w:rFonts w:hint="eastAsia" w:ascii="宋体" w:hAnsi="宋体"/>
          <w:sz w:val="24"/>
        </w:rPr>
        <w:t>（二）发展思路</w:t>
      </w:r>
      <w:bookmarkEnd w:id="6"/>
      <w:bookmarkEnd w:id="7"/>
    </w:p>
    <w:p>
      <w:pPr>
        <w:spacing w:line="360" w:lineRule="auto"/>
        <w:ind w:firstLine="480" w:firstLineChars="200"/>
        <w:rPr>
          <w:rFonts w:ascii="宋体" w:hAnsi="宋体"/>
          <w:sz w:val="24"/>
        </w:rPr>
      </w:pPr>
      <w:r>
        <w:rPr>
          <w:rFonts w:hint="eastAsia" w:ascii="宋体" w:hAnsi="宋体"/>
          <w:sz w:val="24"/>
        </w:rPr>
        <w:t>坚持以人为本、综合改革、社会合作、错位发展的办学思路，以建设特色鲜明、优势突出的地方性应用型高水平大学为奋斗目标；坚持深化综合改革，做精做优教师教育专业，做大做强应用型专业，做细做实基础长线专业，培养适应基础教育和地方经济社会发展需要的高素质应用型人才。</w:t>
      </w:r>
    </w:p>
    <w:p>
      <w:pPr>
        <w:spacing w:line="360" w:lineRule="auto"/>
        <w:ind w:firstLine="482" w:firstLineChars="200"/>
        <w:rPr>
          <w:rFonts w:ascii="宋体" w:hAnsi="宋体"/>
          <w:b/>
          <w:sz w:val="24"/>
        </w:rPr>
      </w:pPr>
      <w:bookmarkStart w:id="8" w:name="_Toc434498126"/>
      <w:bookmarkStart w:id="9" w:name="_Toc434497896"/>
      <w:bookmarkStart w:id="10" w:name="_Toc450720090"/>
      <w:r>
        <w:rPr>
          <w:rFonts w:hint="eastAsia" w:ascii="宋体" w:hAnsi="宋体"/>
          <w:b/>
          <w:sz w:val="24"/>
        </w:rPr>
        <w:t>三、奋斗目标</w:t>
      </w:r>
      <w:bookmarkEnd w:id="8"/>
      <w:bookmarkEnd w:id="9"/>
      <w:bookmarkEnd w:id="10"/>
    </w:p>
    <w:p>
      <w:pPr>
        <w:spacing w:line="360" w:lineRule="auto"/>
        <w:ind w:firstLine="480" w:firstLineChars="200"/>
        <w:rPr>
          <w:rFonts w:ascii="宋体" w:hAnsi="宋体"/>
          <w:sz w:val="24"/>
        </w:rPr>
      </w:pPr>
      <w:bookmarkStart w:id="11" w:name="_Toc450720091"/>
      <w:bookmarkStart w:id="12" w:name="_Toc434498127"/>
      <w:r>
        <w:rPr>
          <w:rFonts w:hint="eastAsia" w:ascii="宋体" w:hAnsi="宋体"/>
          <w:sz w:val="24"/>
        </w:rPr>
        <w:t>以院校评估、专业认证建设为契机，构建科学合理的本科专业结构，坚持以专业内涵建设为重点，实现教学资源的合理配置，不断提高人才培养质量。到2020年，普通全日制在校生规模在2万人左右，使成熟本科专业数稳定在55个左右。</w:t>
      </w:r>
    </w:p>
    <w:p>
      <w:pPr>
        <w:spacing w:line="360" w:lineRule="auto"/>
        <w:ind w:firstLine="482" w:firstLineChars="200"/>
        <w:rPr>
          <w:rFonts w:ascii="宋体" w:hAnsi="宋体"/>
          <w:b/>
          <w:sz w:val="24"/>
        </w:rPr>
      </w:pPr>
      <w:r>
        <w:rPr>
          <w:rFonts w:hint="eastAsia" w:ascii="宋体" w:hAnsi="宋体"/>
          <w:b/>
          <w:sz w:val="24"/>
        </w:rPr>
        <w:t>四、主要任务</w:t>
      </w:r>
    </w:p>
    <w:p>
      <w:pPr>
        <w:spacing w:line="360" w:lineRule="auto"/>
        <w:ind w:firstLine="480" w:firstLineChars="200"/>
        <w:rPr>
          <w:rFonts w:ascii="宋体" w:hAnsi="宋体"/>
          <w:sz w:val="24"/>
        </w:rPr>
      </w:pPr>
      <w:r>
        <w:rPr>
          <w:rFonts w:hint="eastAsia" w:ascii="宋体" w:hAnsi="宋体"/>
          <w:sz w:val="24"/>
        </w:rPr>
        <w:t>（一）学科门类与专业设置</w:t>
      </w:r>
    </w:p>
    <w:p>
      <w:pPr>
        <w:spacing w:line="360" w:lineRule="auto"/>
        <w:ind w:firstLine="480" w:firstLineChars="200"/>
        <w:rPr>
          <w:rFonts w:ascii="宋体" w:hAnsi="宋体"/>
          <w:sz w:val="24"/>
        </w:rPr>
      </w:pPr>
      <w:r>
        <w:rPr>
          <w:rFonts w:hint="eastAsia" w:ascii="宋体" w:hAnsi="宋体"/>
          <w:sz w:val="24"/>
        </w:rPr>
        <w:t>适应经济建设、科技进步和社会发展的需要，调整优化专业结构，形成多学科协调发展的专业格局。建立专业设置预测机制和专业准入与退出机制，逐步优化专业结构，在2017年，构建5-7个专业集群，使其中部分专业在全省范围内有明显优势，促进学校转型发展。</w:t>
      </w:r>
    </w:p>
    <w:p>
      <w:pPr>
        <w:spacing w:line="360" w:lineRule="auto"/>
        <w:ind w:firstLine="482" w:firstLineChars="200"/>
        <w:jc w:val="center"/>
        <w:rPr>
          <w:rFonts w:ascii="宋体" w:hAnsi="宋体"/>
          <w:b/>
          <w:sz w:val="24"/>
        </w:rPr>
      </w:pPr>
      <w:r>
        <w:rPr>
          <w:rFonts w:hint="eastAsia" w:ascii="宋体" w:hAnsi="宋体"/>
          <w:b/>
          <w:sz w:val="24"/>
        </w:rPr>
        <w:t>表1：内江师范学院“十三五”期间专业集群建设一览表</w:t>
      </w:r>
    </w:p>
    <w:tbl>
      <w:tblPr>
        <w:tblStyle w:val="15"/>
        <w:tblW w:w="9371" w:type="dxa"/>
        <w:tblInd w:w="93" w:type="dxa"/>
        <w:tblLayout w:type="fixed"/>
        <w:tblCellMar>
          <w:top w:w="0" w:type="dxa"/>
          <w:left w:w="108" w:type="dxa"/>
          <w:bottom w:w="0" w:type="dxa"/>
          <w:right w:w="108" w:type="dxa"/>
        </w:tblCellMar>
      </w:tblPr>
      <w:tblGrid>
        <w:gridCol w:w="1716"/>
        <w:gridCol w:w="4253"/>
        <w:gridCol w:w="3402"/>
      </w:tblGrid>
      <w:tr>
        <w:tblPrEx>
          <w:tblLayout w:type="fixed"/>
          <w:tblCellMar>
            <w:top w:w="0" w:type="dxa"/>
            <w:left w:w="108" w:type="dxa"/>
            <w:bottom w:w="0" w:type="dxa"/>
            <w:right w:w="108" w:type="dxa"/>
          </w:tblCellMar>
        </w:tblPrEx>
        <w:trPr>
          <w:trHeight w:val="50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b/>
                <w:szCs w:val="21"/>
              </w:rPr>
            </w:pPr>
            <w:r>
              <w:rPr>
                <w:rFonts w:hint="eastAsia" w:ascii="宋体" w:hAnsi="宋体"/>
                <w:b/>
                <w:szCs w:val="21"/>
              </w:rPr>
              <w:t>专业集群</w:t>
            </w:r>
          </w:p>
        </w:tc>
        <w:tc>
          <w:tcPr>
            <w:tcW w:w="4253"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rPr>
                <w:rFonts w:ascii="宋体" w:hAnsi="宋体"/>
                <w:b/>
                <w:szCs w:val="21"/>
              </w:rPr>
            </w:pPr>
            <w:r>
              <w:rPr>
                <w:rFonts w:hint="eastAsia" w:ascii="宋体" w:hAnsi="宋体"/>
                <w:b/>
                <w:szCs w:val="21"/>
              </w:rPr>
              <w:t>涉及专业</w:t>
            </w:r>
          </w:p>
        </w:tc>
        <w:tc>
          <w:tcPr>
            <w:tcW w:w="3402"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rPr>
                <w:rFonts w:ascii="宋体" w:hAnsi="宋体"/>
                <w:b/>
                <w:szCs w:val="21"/>
              </w:rPr>
            </w:pPr>
            <w:r>
              <w:rPr>
                <w:rFonts w:hint="eastAsia" w:ascii="宋体" w:hAnsi="宋体"/>
                <w:b/>
                <w:szCs w:val="21"/>
              </w:rPr>
              <w:t>涉及二级学院</w:t>
            </w:r>
          </w:p>
        </w:tc>
      </w:tr>
      <w:tr>
        <w:tblPrEx>
          <w:tblLayout w:type="fixed"/>
          <w:tblCellMar>
            <w:top w:w="0" w:type="dxa"/>
            <w:left w:w="108" w:type="dxa"/>
            <w:bottom w:w="0" w:type="dxa"/>
            <w:right w:w="108" w:type="dxa"/>
          </w:tblCellMar>
        </w:tblPrEx>
        <w:trPr>
          <w:trHeight w:val="2256"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教师教育类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汉语言文学、数学与应用数学、物理学、化学、英语、思想政治教育、历史学、体育教育、美术学、音乐学、计算机科学与技术、教育学、小学教育、学前教育、地理科学、生物科学、教育技术学</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文学院、数信学院、物电学院、化工学院、外语学院、政管学院、体育学院、美术学院、音乐学院、计科学院、教科学院、地资学院、生科学院</w:t>
            </w:r>
          </w:p>
        </w:tc>
      </w:tr>
      <w:tr>
        <w:tblPrEx>
          <w:tblLayout w:type="fixed"/>
          <w:tblCellMar>
            <w:top w:w="0" w:type="dxa"/>
            <w:left w:w="108" w:type="dxa"/>
            <w:bottom w:w="0" w:type="dxa"/>
            <w:right w:w="108" w:type="dxa"/>
          </w:tblCellMar>
        </w:tblPrEx>
        <w:trPr>
          <w:trHeight w:val="962"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人文类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汉语言文学、英语、商务英语、历史学、美术学、人文地理与城乡规划</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文学院、外语学院、政管学院、美术学院、地资学院</w:t>
            </w:r>
          </w:p>
        </w:tc>
      </w:tr>
      <w:tr>
        <w:tblPrEx>
          <w:tblLayout w:type="fixed"/>
          <w:tblCellMar>
            <w:top w:w="0" w:type="dxa"/>
            <w:left w:w="108" w:type="dxa"/>
            <w:bottom w:w="0" w:type="dxa"/>
            <w:right w:w="108" w:type="dxa"/>
          </w:tblCellMar>
        </w:tblPrEx>
        <w:trPr>
          <w:trHeight w:val="1155"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艺术类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美术学、视觉传达设计、音乐学、音乐表演、舞蹈表演、播音与主持艺术、广播电视学</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美术学院、音乐学院、新闻学院</w:t>
            </w:r>
          </w:p>
        </w:tc>
      </w:tr>
      <w:tr>
        <w:tblPrEx>
          <w:tblLayout w:type="fixed"/>
          <w:tblCellMar>
            <w:top w:w="0" w:type="dxa"/>
            <w:left w:w="108" w:type="dxa"/>
            <w:bottom w:w="0" w:type="dxa"/>
            <w:right w:w="108" w:type="dxa"/>
          </w:tblCellMar>
        </w:tblPrEx>
        <w:trPr>
          <w:trHeight w:val="600"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经济与管理类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金融数学、工程造价、电子商务、经济学、工商管理、市场营销、物流工程、网络工程</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数信学院、建工学院、经管学院、计科学院</w:t>
            </w:r>
          </w:p>
        </w:tc>
      </w:tr>
      <w:tr>
        <w:tblPrEx>
          <w:tblLayout w:type="fixed"/>
          <w:tblCellMar>
            <w:top w:w="0" w:type="dxa"/>
            <w:left w:w="108" w:type="dxa"/>
            <w:bottom w:w="0" w:type="dxa"/>
            <w:right w:w="108" w:type="dxa"/>
          </w:tblCellMar>
        </w:tblPrEx>
        <w:trPr>
          <w:trHeight w:val="551" w:hRule="atLeast"/>
        </w:trPr>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资源农业类</w:t>
            </w:r>
          </w:p>
        </w:tc>
        <w:tc>
          <w:tcPr>
            <w:tcW w:w="4253" w:type="dxa"/>
            <w:tcBorders>
              <w:top w:val="single" w:color="auto" w:sz="4" w:space="0"/>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水产养殖学、生物技术、生物科学、自然地理与资源环境、资源循环科学与工程、化学、应用化学、地理科学</w:t>
            </w:r>
          </w:p>
        </w:tc>
        <w:tc>
          <w:tcPr>
            <w:tcW w:w="3402" w:type="dxa"/>
            <w:tcBorders>
              <w:top w:val="single" w:color="auto" w:sz="4" w:space="0"/>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化工学院、生科学院、地资学院</w:t>
            </w:r>
          </w:p>
        </w:tc>
      </w:tr>
      <w:tr>
        <w:tblPrEx>
          <w:tblLayout w:type="fixed"/>
          <w:tblCellMar>
            <w:top w:w="0" w:type="dxa"/>
            <w:left w:w="108" w:type="dxa"/>
            <w:bottom w:w="0" w:type="dxa"/>
            <w:right w:w="108" w:type="dxa"/>
          </w:tblCellMar>
        </w:tblPrEx>
        <w:trPr>
          <w:trHeight w:val="855"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电子信息类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信息与计算科学、物理学、电子信息工程、通信工程、计算机科学与技术、软件工程、网络工程、物联网工程</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数信学院、物电学院、计科学院</w:t>
            </w:r>
          </w:p>
        </w:tc>
      </w:tr>
      <w:tr>
        <w:tblPrEx>
          <w:tblLayout w:type="fixed"/>
          <w:tblCellMar>
            <w:top w:w="0" w:type="dxa"/>
            <w:left w:w="108" w:type="dxa"/>
            <w:bottom w:w="0" w:type="dxa"/>
            <w:right w:w="108" w:type="dxa"/>
          </w:tblCellMar>
        </w:tblPrEx>
        <w:trPr>
          <w:trHeight w:val="600"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建筑工程类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土木工程、工程造价、测绘工程、人文地理与城乡规划、环境设计</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建工学院、地资学院、美术学院</w:t>
            </w:r>
          </w:p>
        </w:tc>
      </w:tr>
      <w:tr>
        <w:tblPrEx>
          <w:tblLayout w:type="fixed"/>
          <w:tblCellMar>
            <w:top w:w="0" w:type="dxa"/>
            <w:left w:w="108" w:type="dxa"/>
            <w:bottom w:w="0" w:type="dxa"/>
            <w:right w:w="108" w:type="dxa"/>
          </w:tblCellMar>
        </w:tblPrEx>
        <w:trPr>
          <w:trHeight w:val="600"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生化工程类</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化学、应用化学、资源循环科学与工程、生物科学、生物技术</w:t>
            </w:r>
          </w:p>
        </w:tc>
        <w:tc>
          <w:tcPr>
            <w:tcW w:w="3402" w:type="dxa"/>
            <w:tcBorders>
              <w:top w:val="nil"/>
              <w:left w:val="nil"/>
              <w:bottom w:val="single" w:color="000000" w:sz="4" w:space="0"/>
              <w:right w:val="single" w:color="000000" w:sz="4" w:space="0"/>
            </w:tcBorders>
            <w:shd w:val="clear" w:color="auto" w:fill="auto"/>
            <w:vAlign w:val="center"/>
          </w:tcPr>
          <w:p>
            <w:pPr>
              <w:widowControl/>
              <w:spacing w:line="276" w:lineRule="auto"/>
              <w:jc w:val="left"/>
              <w:rPr>
                <w:rFonts w:ascii="宋体" w:hAnsi="宋体"/>
                <w:szCs w:val="21"/>
              </w:rPr>
            </w:pPr>
            <w:r>
              <w:rPr>
                <w:rFonts w:hint="eastAsia" w:ascii="宋体" w:hAnsi="宋体"/>
                <w:szCs w:val="21"/>
              </w:rPr>
              <w:t>化工学院、生科学院</w:t>
            </w:r>
          </w:p>
        </w:tc>
      </w:tr>
    </w:tbl>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表2：内江师范学院“十三五”期间优势专业建设一览表</w:t>
      </w:r>
    </w:p>
    <w:tbl>
      <w:tblPr>
        <w:tblStyle w:val="15"/>
        <w:tblW w:w="9356" w:type="dxa"/>
        <w:tblInd w:w="108" w:type="dxa"/>
        <w:tblLayout w:type="fixed"/>
        <w:tblCellMar>
          <w:top w:w="0" w:type="dxa"/>
          <w:left w:w="108" w:type="dxa"/>
          <w:bottom w:w="0" w:type="dxa"/>
          <w:right w:w="108" w:type="dxa"/>
        </w:tblCellMar>
      </w:tblPr>
      <w:tblGrid>
        <w:gridCol w:w="1701"/>
        <w:gridCol w:w="2519"/>
        <w:gridCol w:w="2020"/>
        <w:gridCol w:w="3116"/>
      </w:tblGrid>
      <w:tr>
        <w:tblPrEx>
          <w:tblLayout w:type="fixed"/>
          <w:tblCellMar>
            <w:top w:w="0" w:type="dxa"/>
            <w:left w:w="108" w:type="dxa"/>
            <w:bottom w:w="0" w:type="dxa"/>
            <w:right w:w="108" w:type="dxa"/>
          </w:tblCellMar>
        </w:tblPrEx>
        <w:trPr>
          <w:trHeight w:val="60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b/>
                <w:szCs w:val="21"/>
              </w:rPr>
            </w:pPr>
            <w:r>
              <w:rPr>
                <w:rFonts w:hint="eastAsia" w:ascii="宋体" w:hAnsi="宋体"/>
                <w:b/>
                <w:szCs w:val="21"/>
              </w:rPr>
              <w:t>二级学院</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b/>
                <w:szCs w:val="21"/>
              </w:rPr>
            </w:pPr>
            <w:r>
              <w:rPr>
                <w:rFonts w:hint="eastAsia" w:ascii="宋体" w:hAnsi="宋体"/>
                <w:b/>
                <w:szCs w:val="21"/>
              </w:rPr>
              <w:t>专业名称</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b/>
                <w:szCs w:val="21"/>
              </w:rPr>
            </w:pPr>
            <w:r>
              <w:rPr>
                <w:rFonts w:hint="eastAsia" w:ascii="宋体" w:hAnsi="宋体"/>
                <w:b/>
                <w:szCs w:val="21"/>
              </w:rPr>
              <w:t>学科门类</w:t>
            </w:r>
          </w:p>
        </w:tc>
        <w:tc>
          <w:tcPr>
            <w:tcW w:w="311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b/>
                <w:szCs w:val="21"/>
              </w:rPr>
            </w:pPr>
            <w:r>
              <w:rPr>
                <w:rFonts w:hint="eastAsia" w:ascii="宋体" w:hAnsi="宋体"/>
                <w:b/>
                <w:szCs w:val="21"/>
              </w:rPr>
              <w:t>专业类</w:t>
            </w:r>
          </w:p>
        </w:tc>
      </w:tr>
      <w:tr>
        <w:tblPrEx>
          <w:tblLayout w:type="fixed"/>
          <w:tblCellMar>
            <w:top w:w="0" w:type="dxa"/>
            <w:left w:w="108" w:type="dxa"/>
            <w:bottom w:w="0" w:type="dxa"/>
            <w:right w:w="108" w:type="dxa"/>
          </w:tblCellMar>
        </w:tblPrEx>
        <w:trPr>
          <w:trHeight w:val="468"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文学院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汉语言文学</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文学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中国语言文学类</w:t>
            </w:r>
          </w:p>
        </w:tc>
      </w:tr>
      <w:tr>
        <w:tblPrEx>
          <w:tblLayout w:type="fixed"/>
          <w:tblCellMar>
            <w:top w:w="0" w:type="dxa"/>
            <w:left w:w="108" w:type="dxa"/>
            <w:bottom w:w="0" w:type="dxa"/>
            <w:right w:w="108" w:type="dxa"/>
          </w:tblCellMar>
        </w:tblPrEx>
        <w:trPr>
          <w:trHeight w:val="417"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数信学院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数学与应用数学</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理学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数学类</w:t>
            </w:r>
          </w:p>
        </w:tc>
      </w:tr>
      <w:tr>
        <w:tblPrEx>
          <w:tblLayout w:type="fixed"/>
          <w:tblCellMar>
            <w:top w:w="0" w:type="dxa"/>
            <w:left w:w="108" w:type="dxa"/>
            <w:bottom w:w="0" w:type="dxa"/>
            <w:right w:w="108" w:type="dxa"/>
          </w:tblCellMar>
        </w:tblPrEx>
        <w:trPr>
          <w:trHeight w:val="422"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化工学院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资源循环科学与工程</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工学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化工与制药类</w:t>
            </w:r>
          </w:p>
        </w:tc>
      </w:tr>
      <w:tr>
        <w:tblPrEx>
          <w:tblLayout w:type="fixed"/>
          <w:tblCellMar>
            <w:top w:w="0" w:type="dxa"/>
            <w:left w:w="108" w:type="dxa"/>
            <w:bottom w:w="0" w:type="dxa"/>
            <w:right w:w="108" w:type="dxa"/>
          </w:tblCellMar>
        </w:tblPrEx>
        <w:trPr>
          <w:trHeight w:val="414"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经管学院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电子商务</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管理学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电子商务类</w:t>
            </w:r>
          </w:p>
        </w:tc>
      </w:tr>
      <w:tr>
        <w:tblPrEx>
          <w:tblLayout w:type="fixed"/>
          <w:tblCellMar>
            <w:top w:w="0" w:type="dxa"/>
            <w:left w:w="108" w:type="dxa"/>
            <w:bottom w:w="0" w:type="dxa"/>
            <w:right w:w="108" w:type="dxa"/>
          </w:tblCellMar>
        </w:tblPrEx>
        <w:trPr>
          <w:trHeight w:val="421"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体育学院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体育教育</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教育学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体育学类</w:t>
            </w:r>
          </w:p>
        </w:tc>
      </w:tr>
      <w:tr>
        <w:tblPrEx>
          <w:tblLayout w:type="fixed"/>
          <w:tblCellMar>
            <w:top w:w="0" w:type="dxa"/>
            <w:left w:w="108" w:type="dxa"/>
            <w:bottom w:w="0" w:type="dxa"/>
            <w:right w:w="108" w:type="dxa"/>
          </w:tblCellMar>
        </w:tblPrEx>
        <w:trPr>
          <w:trHeight w:val="413"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美术学院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美术学</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艺术学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美术学类</w:t>
            </w:r>
          </w:p>
        </w:tc>
      </w:tr>
      <w:tr>
        <w:tblPrEx>
          <w:tblLayout w:type="fixed"/>
          <w:tblCellMar>
            <w:top w:w="0" w:type="dxa"/>
            <w:left w:w="108" w:type="dxa"/>
            <w:bottom w:w="0" w:type="dxa"/>
            <w:right w:w="108" w:type="dxa"/>
          </w:tblCellMar>
        </w:tblPrEx>
        <w:trPr>
          <w:trHeight w:val="40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计科学院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软件工程</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工学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计算机类</w:t>
            </w:r>
          </w:p>
        </w:tc>
      </w:tr>
      <w:tr>
        <w:tblPrEx>
          <w:tblLayout w:type="fixed"/>
          <w:tblCellMar>
            <w:top w:w="0" w:type="dxa"/>
            <w:left w:w="108" w:type="dxa"/>
            <w:bottom w:w="0" w:type="dxa"/>
            <w:right w:w="108" w:type="dxa"/>
          </w:tblCellMar>
        </w:tblPrEx>
        <w:trPr>
          <w:trHeight w:val="4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生科学院</w:t>
            </w:r>
          </w:p>
        </w:tc>
        <w:tc>
          <w:tcPr>
            <w:tcW w:w="251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水产养殖学</w:t>
            </w:r>
          </w:p>
        </w:tc>
        <w:tc>
          <w:tcPr>
            <w:tcW w:w="202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农学</w:t>
            </w:r>
          </w:p>
        </w:tc>
        <w:tc>
          <w:tcPr>
            <w:tcW w:w="311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szCs w:val="21"/>
              </w:rPr>
            </w:pPr>
            <w:r>
              <w:rPr>
                <w:rFonts w:hint="eastAsia" w:ascii="宋体" w:hAnsi="宋体"/>
                <w:szCs w:val="21"/>
              </w:rPr>
              <w:t>水产类</w:t>
            </w:r>
          </w:p>
        </w:tc>
      </w:tr>
    </w:tbl>
    <w:p>
      <w:pPr>
        <w:spacing w:line="360" w:lineRule="auto"/>
        <w:ind w:firstLine="480" w:firstLineChars="200"/>
        <w:rPr>
          <w:rFonts w:ascii="宋体" w:hAnsi="宋体"/>
          <w:sz w:val="24"/>
        </w:rPr>
      </w:pPr>
      <w:r>
        <w:rPr>
          <w:rFonts w:hint="eastAsia" w:ascii="宋体" w:hAnsi="宋体"/>
          <w:sz w:val="24"/>
        </w:rPr>
        <w:t>（二）在校生规模</w:t>
      </w:r>
    </w:p>
    <w:p>
      <w:pPr>
        <w:spacing w:line="360" w:lineRule="auto"/>
        <w:ind w:firstLine="480" w:firstLineChars="200"/>
        <w:rPr>
          <w:rFonts w:ascii="宋体" w:hAnsi="宋体"/>
          <w:sz w:val="24"/>
        </w:rPr>
      </w:pPr>
      <w:r>
        <w:rPr>
          <w:rFonts w:ascii="宋体" w:hAnsi="宋体"/>
          <w:sz w:val="24"/>
        </w:rPr>
        <w:t>到20</w:t>
      </w:r>
      <w:r>
        <w:rPr>
          <w:rFonts w:hint="eastAsia" w:ascii="宋体" w:hAnsi="宋体"/>
          <w:sz w:val="24"/>
        </w:rPr>
        <w:t>20</w:t>
      </w:r>
      <w:r>
        <w:rPr>
          <w:rFonts w:ascii="宋体" w:hAnsi="宋体"/>
          <w:sz w:val="24"/>
        </w:rPr>
        <w:t>年，全日制在校生达到</w:t>
      </w:r>
      <w:r>
        <w:rPr>
          <w:rFonts w:hint="eastAsia" w:ascii="宋体" w:hAnsi="宋体"/>
          <w:sz w:val="24"/>
        </w:rPr>
        <w:t>2</w:t>
      </w:r>
      <w:r>
        <w:rPr>
          <w:rFonts w:ascii="宋体" w:hAnsi="宋体"/>
          <w:sz w:val="24"/>
        </w:rPr>
        <w:t>万人左右，</w:t>
      </w:r>
      <w:r>
        <w:rPr>
          <w:rFonts w:hint="eastAsia" w:ascii="宋体" w:hAnsi="宋体"/>
          <w:sz w:val="24"/>
        </w:rPr>
        <w:t>教师教育类与应用型专业学生人数比例调整到约3:7。</w:t>
      </w:r>
    </w:p>
    <w:p>
      <w:pPr>
        <w:spacing w:line="360" w:lineRule="auto"/>
        <w:ind w:firstLine="480" w:firstLineChars="200"/>
        <w:rPr>
          <w:rFonts w:ascii="宋体" w:hAnsi="宋体"/>
          <w:sz w:val="24"/>
        </w:rPr>
      </w:pPr>
      <w:r>
        <w:rPr>
          <w:rFonts w:hint="eastAsia" w:ascii="宋体" w:hAnsi="宋体"/>
          <w:sz w:val="24"/>
        </w:rPr>
        <w:t>（三）专业内涵建设与特色凝练</w:t>
      </w:r>
    </w:p>
    <w:p>
      <w:pPr>
        <w:spacing w:line="360" w:lineRule="auto"/>
        <w:ind w:firstLine="480" w:firstLineChars="200"/>
        <w:rPr>
          <w:rFonts w:ascii="宋体" w:hAnsi="宋体"/>
          <w:sz w:val="24"/>
        </w:rPr>
      </w:pPr>
      <w:r>
        <w:rPr>
          <w:rFonts w:hint="eastAsia" w:ascii="宋体" w:hAnsi="宋体"/>
          <w:sz w:val="24"/>
        </w:rPr>
        <w:t>通过加强师资队伍、课程、教材、实验室、实践教学基地、图书资料建设与深化课程体系、教学内容、教学方法与手段改革，不断提升专业建设水平和人才培养质量。</w:t>
      </w:r>
    </w:p>
    <w:p>
      <w:pPr>
        <w:spacing w:line="360" w:lineRule="auto"/>
        <w:ind w:firstLine="480" w:firstLineChars="200"/>
        <w:rPr>
          <w:rFonts w:ascii="宋体" w:hAnsi="宋体"/>
          <w:sz w:val="24"/>
        </w:rPr>
      </w:pPr>
      <w:r>
        <w:rPr>
          <w:rFonts w:hint="eastAsia" w:ascii="宋体" w:hAnsi="宋体"/>
          <w:sz w:val="24"/>
        </w:rPr>
        <w:t>强化专业内涵建设，进一步深化专业综合改革，积极开展学校与地方政府、行业、企业之间的联合培养，大胆突破既有培养方案的格局，在课程体系、管理方式上勇于创新。在探索实践的基础上加强特色凝练， 促进学校转型发展。</w:t>
      </w:r>
    </w:p>
    <w:p>
      <w:pPr>
        <w:spacing w:line="360" w:lineRule="auto"/>
        <w:ind w:firstLine="480" w:firstLineChars="200"/>
        <w:rPr>
          <w:rFonts w:ascii="宋体" w:hAnsi="宋体"/>
          <w:sz w:val="24"/>
        </w:rPr>
      </w:pPr>
      <w:r>
        <w:rPr>
          <w:rFonts w:hint="eastAsia" w:ascii="宋体" w:hAnsi="宋体"/>
          <w:sz w:val="24"/>
        </w:rPr>
        <w:t>（四）人才培养</w:t>
      </w:r>
    </w:p>
    <w:p>
      <w:pPr>
        <w:widowControl/>
        <w:spacing w:line="360" w:lineRule="auto"/>
        <w:ind w:firstLine="480" w:firstLineChars="200"/>
        <w:jc w:val="left"/>
        <w:rPr>
          <w:rFonts w:ascii="宋体" w:hAnsi="宋体"/>
          <w:sz w:val="24"/>
        </w:rPr>
      </w:pPr>
      <w:r>
        <w:rPr>
          <w:rFonts w:hint="eastAsia" w:ascii="宋体" w:hAnsi="宋体"/>
          <w:sz w:val="24"/>
        </w:rPr>
        <w:t>坚持立德树人，深化“以发展为中心，教学做统一”的育人模式改革，推进“分类分层分级”教学，努力把学生培养成为具有真诚的爱心、高度的责任心、执着的进取心，具有较强的实践操作能力、沟通协调能力、创新创业能力，具有良好的人文精神、科学精神、批判精神的高素质应用型人才。</w:t>
      </w:r>
    </w:p>
    <w:p>
      <w:pPr>
        <w:widowControl/>
        <w:spacing w:line="360" w:lineRule="auto"/>
        <w:ind w:firstLine="480" w:firstLineChars="200"/>
        <w:jc w:val="left"/>
        <w:rPr>
          <w:rFonts w:ascii="宋体" w:hAnsi="宋体" w:cs="Tahoma"/>
          <w:sz w:val="24"/>
        </w:rPr>
      </w:pPr>
      <w:r>
        <w:rPr>
          <w:rFonts w:hint="eastAsia" w:ascii="宋体" w:hAnsi="宋体"/>
          <w:sz w:val="24"/>
        </w:rPr>
        <w:t>继续进行“本科教学工程”项目建设，确保教育教学改革的顺利进行。深入实践“五</w:t>
      </w:r>
      <w:r>
        <w:rPr>
          <w:rFonts w:hint="eastAsia" w:ascii="宋体" w:hAnsi="宋体" w:cs="Tahoma"/>
          <w:sz w:val="24"/>
        </w:rPr>
        <w:t>强化”的课堂教学模式，进一步在全校教师中普遍推广运用案例教学、实地考察、模拟训练以及启发式、讨论式、参与式、探究式等多种教学方法。重点加强对课程集群建设、教育评价与考核、教学质量监控等方面的研究与实践。新增校级教学改革项目100～150项、省级教改项目10项，</w:t>
      </w:r>
      <w:r>
        <w:rPr>
          <w:rFonts w:hint="eastAsia" w:ascii="宋体" w:hAnsi="宋体"/>
          <w:sz w:val="24"/>
        </w:rPr>
        <w:t>新建校级优质通识选修课5门左右，力争新建校级在线开放课程10门、省级5门、国家级1-2门，鼓励选用各级各类规划教材，鼓励学校教师根据教学的实际编写适合教学需要的讲义、教材，到2020年，力争编写出版应用型课程教材25本。</w:t>
      </w:r>
      <w:r>
        <w:rPr>
          <w:rFonts w:hint="eastAsia" w:ascii="宋体" w:hAnsi="宋体" w:cs="Tahoma"/>
          <w:sz w:val="24"/>
        </w:rPr>
        <w:t>获省级教学成果奖5项左右，力争实现国家级教学成果奖的突破。</w:t>
      </w:r>
    </w:p>
    <w:p>
      <w:pPr>
        <w:spacing w:line="360" w:lineRule="auto"/>
        <w:ind w:firstLine="723" w:firstLineChars="300"/>
        <w:jc w:val="left"/>
        <w:rPr>
          <w:rFonts w:ascii="宋体" w:hAnsi="宋体" w:cs="Tahoma"/>
          <w:b/>
          <w:sz w:val="24"/>
        </w:rPr>
      </w:pPr>
    </w:p>
    <w:p>
      <w:pPr>
        <w:spacing w:line="360" w:lineRule="auto"/>
        <w:ind w:firstLine="723" w:firstLineChars="300"/>
        <w:jc w:val="left"/>
        <w:rPr>
          <w:rFonts w:ascii="宋体" w:hAnsi="宋体" w:cs="Tahoma"/>
          <w:b/>
          <w:sz w:val="24"/>
        </w:rPr>
      </w:pPr>
    </w:p>
    <w:p>
      <w:pPr>
        <w:spacing w:line="360" w:lineRule="auto"/>
        <w:ind w:firstLine="723" w:firstLineChars="300"/>
        <w:jc w:val="left"/>
        <w:rPr>
          <w:rFonts w:ascii="宋体" w:hAnsi="宋体" w:cs="Tahoma"/>
          <w:b/>
          <w:sz w:val="24"/>
        </w:rPr>
      </w:pPr>
    </w:p>
    <w:p>
      <w:pPr>
        <w:spacing w:line="360" w:lineRule="auto"/>
        <w:ind w:firstLine="723" w:firstLineChars="300"/>
        <w:jc w:val="center"/>
        <w:rPr>
          <w:rFonts w:ascii="宋体" w:hAnsi="宋体" w:cs="Tahoma"/>
          <w:b/>
          <w:sz w:val="24"/>
        </w:rPr>
      </w:pPr>
      <w:r>
        <w:rPr>
          <w:rFonts w:hint="eastAsia" w:ascii="宋体" w:hAnsi="宋体" w:cs="Tahoma"/>
          <w:b/>
          <w:sz w:val="24"/>
        </w:rPr>
        <w:t>表3：内江师范学院“十三五”期间教学改革类项目计划进程表</w:t>
      </w:r>
    </w:p>
    <w:tbl>
      <w:tblPr>
        <w:tblStyle w:val="15"/>
        <w:tblW w:w="9072" w:type="dxa"/>
        <w:tblInd w:w="392" w:type="dxa"/>
        <w:tblLayout w:type="fixed"/>
        <w:tblCellMar>
          <w:top w:w="0" w:type="dxa"/>
          <w:left w:w="108" w:type="dxa"/>
          <w:bottom w:w="0" w:type="dxa"/>
          <w:right w:w="108" w:type="dxa"/>
        </w:tblCellMar>
      </w:tblPr>
      <w:tblGrid>
        <w:gridCol w:w="850"/>
        <w:gridCol w:w="851"/>
        <w:gridCol w:w="850"/>
        <w:gridCol w:w="1134"/>
        <w:gridCol w:w="709"/>
        <w:gridCol w:w="851"/>
        <w:gridCol w:w="850"/>
        <w:gridCol w:w="992"/>
        <w:gridCol w:w="1985"/>
      </w:tblGrid>
      <w:tr>
        <w:tblPrEx>
          <w:tblLayout w:type="fixed"/>
          <w:tblCellMar>
            <w:top w:w="0" w:type="dxa"/>
            <w:left w:w="108" w:type="dxa"/>
            <w:bottom w:w="0" w:type="dxa"/>
            <w:right w:w="108" w:type="dxa"/>
          </w:tblCellMar>
        </w:tblPrEx>
        <w:trPr>
          <w:trHeight w:val="402" w:hRule="atLeast"/>
        </w:trPr>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年度</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校级教改项目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优质通识选修课</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在线开放课程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教材</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教学成果奖</w:t>
            </w:r>
          </w:p>
        </w:tc>
      </w:tr>
      <w:tr>
        <w:tblPrEx>
          <w:tblLayout w:type="fixed"/>
          <w:tblCellMar>
            <w:top w:w="0" w:type="dxa"/>
            <w:left w:w="108" w:type="dxa"/>
            <w:bottom w:w="0" w:type="dxa"/>
            <w:right w:w="108" w:type="dxa"/>
          </w:tblCellMar>
        </w:tblPrEx>
        <w:trPr>
          <w:trHeight w:val="402" w:hRule="atLeast"/>
        </w:trPr>
        <w:tc>
          <w:tcPr>
            <w:tcW w:w="8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ascii="宋体" w:hAnsi="宋体"/>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校级</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省级</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校级</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校级</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省级</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国家级</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校级</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省级</w:t>
            </w:r>
          </w:p>
        </w:tc>
      </w:tr>
      <w:tr>
        <w:tblPrEx>
          <w:tblLayout w:type="fixed"/>
          <w:tblCellMar>
            <w:top w:w="0" w:type="dxa"/>
            <w:left w:w="108" w:type="dxa"/>
            <w:bottom w:w="0" w:type="dxa"/>
            <w:right w:w="108" w:type="dxa"/>
          </w:tblCellMar>
        </w:tblPrEx>
        <w:trPr>
          <w:trHeight w:val="402"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2016</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35</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3</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9</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402"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2017</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40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10</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6</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trHeight w:val="402"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2018</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30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6</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402"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2019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25</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402"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　</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402" w:hRule="atLeast"/>
        </w:trPr>
        <w:tc>
          <w:tcPr>
            <w:tcW w:w="85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szCs w:val="21"/>
              </w:rPr>
            </w:pPr>
            <w:r>
              <w:rPr>
                <w:rFonts w:hint="eastAsia" w:ascii="宋体" w:hAnsi="宋体"/>
                <w:szCs w:val="21"/>
              </w:rPr>
              <w:t>合计</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150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10</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25</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Cs w:val="21"/>
              </w:rPr>
            </w:pPr>
            <w:r>
              <w:rPr>
                <w:rFonts w:hint="eastAsia" w:ascii="宋体" w:hAnsi="宋体"/>
                <w:szCs w:val="21"/>
              </w:rPr>
              <w:t>5</w:t>
            </w:r>
          </w:p>
        </w:tc>
      </w:tr>
    </w:tbl>
    <w:p>
      <w:pPr>
        <w:spacing w:line="360" w:lineRule="auto"/>
        <w:ind w:firstLine="482" w:firstLineChars="200"/>
        <w:rPr>
          <w:rFonts w:ascii="宋体" w:hAnsi="宋体"/>
          <w:b/>
          <w:sz w:val="24"/>
        </w:rPr>
      </w:pPr>
      <w:r>
        <w:rPr>
          <w:rFonts w:hint="eastAsia" w:ascii="宋体" w:hAnsi="宋体"/>
          <w:b/>
          <w:sz w:val="24"/>
        </w:rPr>
        <w:t>五、主要措施</w:t>
      </w:r>
    </w:p>
    <w:p>
      <w:pPr>
        <w:spacing w:line="360" w:lineRule="auto"/>
        <w:ind w:firstLine="480" w:firstLineChars="200"/>
        <w:rPr>
          <w:rFonts w:ascii="宋体" w:hAnsi="宋体"/>
          <w:sz w:val="24"/>
        </w:rPr>
      </w:pPr>
      <w:r>
        <w:rPr>
          <w:rFonts w:hint="eastAsia" w:ascii="宋体" w:hAnsi="宋体"/>
          <w:sz w:val="24"/>
        </w:rPr>
        <w:t>（一）制定科学合理的专业建设规划与年度计划</w:t>
      </w:r>
    </w:p>
    <w:p>
      <w:pPr>
        <w:spacing w:line="360" w:lineRule="auto"/>
        <w:ind w:firstLine="480" w:firstLineChars="200"/>
        <w:rPr>
          <w:rFonts w:ascii="宋体" w:hAnsi="宋体"/>
          <w:sz w:val="24"/>
        </w:rPr>
      </w:pPr>
      <w:r>
        <w:rPr>
          <w:rFonts w:hint="eastAsia" w:ascii="宋体" w:hAnsi="宋体"/>
          <w:sz w:val="24"/>
        </w:rPr>
        <w:t>按照学校“十三五”事业发展规划确定的办学指导思想、办学定位与目标任务，以师资队伍建设为核心、以课程建设为重点、以深化教学改革为动力、以加强教学管理为手段，制定涵盖师资队伍建设、课程建设、教学条件建设（含经费投入、实践条件、教材、图书资料、现代化教学手段等建设）、教学制度建设、教学改革、教学质量监控等方面内容的专业建设规划。各二级学院应根据学校专业建设规划，结合本院专业建设实际，制定科学合理、可操作性强的专业建设规划和年度计划，保证有目标、有计划、有步骤地开展专业建设，适应专业建设的需要，适时进行专业人才培养方案的修订。</w:t>
      </w:r>
    </w:p>
    <w:p>
      <w:pPr>
        <w:spacing w:line="360" w:lineRule="auto"/>
        <w:ind w:firstLine="482" w:firstLineChars="200"/>
        <w:rPr>
          <w:rFonts w:ascii="宋体" w:hAnsi="宋体"/>
          <w:sz w:val="24"/>
        </w:rPr>
      </w:pPr>
      <w:r>
        <w:rPr>
          <w:rFonts w:hint="eastAsia" w:ascii="宋体" w:hAnsi="宋体"/>
          <w:b/>
          <w:sz w:val="24"/>
        </w:rPr>
        <w:t>（</w:t>
      </w:r>
      <w:r>
        <w:rPr>
          <w:rFonts w:hint="eastAsia" w:ascii="宋体" w:hAnsi="宋体"/>
          <w:sz w:val="24"/>
        </w:rPr>
        <w:t>二）优化专业布局与专业结构</w:t>
      </w:r>
    </w:p>
    <w:p>
      <w:pPr>
        <w:spacing w:line="360" w:lineRule="auto"/>
        <w:ind w:firstLine="480" w:firstLineChars="200"/>
        <w:rPr>
          <w:rFonts w:ascii="宋体" w:hAnsi="宋体"/>
          <w:sz w:val="24"/>
        </w:rPr>
      </w:pPr>
      <w:r>
        <w:rPr>
          <w:rFonts w:hint="eastAsia" w:ascii="宋体" w:hAnsi="宋体"/>
          <w:sz w:val="24"/>
        </w:rPr>
        <w:t>以院校评估、专业评估与认证为契机，从国家、四川省经济社会发展对人才的实际需求出发，按照学校的总体规划和部署，做细做实基础长线专业，强化校内多学科、跨学科之间的融合，形成新的</w:t>
      </w:r>
      <w:bookmarkStart w:id="13" w:name="OLE_LINK2"/>
      <w:bookmarkStart w:id="14" w:name="OLE_LINK1"/>
      <w:r>
        <w:rPr>
          <w:rFonts w:hint="eastAsia" w:ascii="宋体" w:hAnsi="宋体"/>
          <w:sz w:val="24"/>
        </w:rPr>
        <w:t>专业增长点</w:t>
      </w:r>
      <w:bookmarkEnd w:id="13"/>
      <w:bookmarkEnd w:id="14"/>
      <w:r>
        <w:rPr>
          <w:rFonts w:hint="eastAsia" w:ascii="宋体" w:hAnsi="宋体"/>
          <w:sz w:val="24"/>
        </w:rPr>
        <w:t>，积极稳妥地调整专业设置和专业布局。巩固和加强传统优势专业的建设，做精做优教师教育专业，加快建设和发展社会急需的应用型专业。通过整合与重组，实现教育资源的合理配置和高效利用。</w:t>
      </w:r>
    </w:p>
    <w:p>
      <w:pPr>
        <w:spacing w:line="360" w:lineRule="auto"/>
        <w:ind w:firstLine="480" w:firstLineChars="200"/>
        <w:rPr>
          <w:rFonts w:ascii="宋体" w:hAnsi="宋体"/>
          <w:sz w:val="24"/>
        </w:rPr>
      </w:pPr>
      <w:r>
        <w:rPr>
          <w:rFonts w:hint="eastAsia" w:ascii="宋体" w:hAnsi="宋体"/>
          <w:sz w:val="24"/>
        </w:rPr>
        <w:t>（三）加强专业内涵建设，确保人才培养质量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加强师资队伍建设，改善师资结构与质量</w:t>
      </w:r>
    </w:p>
    <w:p>
      <w:pPr>
        <w:spacing w:line="360" w:lineRule="auto"/>
        <w:ind w:firstLine="480" w:firstLineChars="200"/>
        <w:rPr>
          <w:rFonts w:ascii="宋体" w:hAnsi="宋体"/>
          <w:sz w:val="24"/>
        </w:rPr>
      </w:pPr>
      <w:r>
        <w:rPr>
          <w:rFonts w:hint="eastAsia" w:ascii="宋体" w:hAnsi="宋体"/>
          <w:sz w:val="24"/>
        </w:rPr>
        <w:t>建设一支数量充足、结构合理、素质优良、工作高效的教师队伍，支撑我校教育教学水平稳步提高。发挥好教学名师、教学能手的示范指导作用，开展好教学奖励评选工作；建立和完善教师考核评价机制，执行教授、副教授每年为本科生授课制度；完善专业负责人制度，推行“专业带头人”工程，提高专业建设质量，凝练专业特色，培育优势专业。</w:t>
      </w:r>
    </w:p>
    <w:p>
      <w:pPr>
        <w:spacing w:line="360" w:lineRule="auto"/>
        <w:ind w:firstLine="480" w:firstLineChars="200"/>
        <w:rPr>
          <w:rFonts w:ascii="宋体" w:hAnsi="宋体"/>
          <w:sz w:val="24"/>
        </w:rPr>
      </w:pPr>
      <w:r>
        <w:rPr>
          <w:rFonts w:hint="eastAsia" w:ascii="宋体" w:hAnsi="宋体"/>
          <w:sz w:val="24"/>
        </w:rPr>
        <w:t>充分发挥教师教学能力发展中心的作用，建立完善的教师发展培训服务体系。建立教师职业能力终身培训制度，对新入职、职业早期、职业中期的教师等不同发展阶段的师资实施教学能力提升培训，重点为各专业课程体系的完善和教学方法的改进提供指导和帮助，培养一批有较高教学水平与学术造诣的师资队伍；定期开办各种高水平教学建设和改革研讨班，为不同层次的教学管理人员搭建能力提升和沟通交流平台。</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加强课程与教材建设，着力实现新突破</w:t>
      </w:r>
    </w:p>
    <w:p>
      <w:pPr>
        <w:spacing w:line="360" w:lineRule="auto"/>
        <w:ind w:firstLine="480" w:firstLineChars="200"/>
        <w:rPr>
          <w:rFonts w:ascii="宋体" w:hAnsi="宋体"/>
          <w:sz w:val="24"/>
        </w:rPr>
      </w:pPr>
      <w:r>
        <w:rPr>
          <w:rFonts w:hint="eastAsia" w:ascii="宋体" w:hAnsi="宋体"/>
          <w:sz w:val="24"/>
        </w:rPr>
        <w:t>根据专业培养目标，合理设置课程体系。加大对课程建设的投入，重点建设专业核心课、优质通识选修课、双语课程。进一步加强大规模在线开放课程等网络教育资源的开发，强化对网络教育资源的使用力度，探索混合式教学的有效机制。健全和完善课程检查与评估制度，加强对课程建设的过程性管理。加强研究型、课题型、探讨型、实践型、自主学习型等课程的建设，着力丰富选修课程资源。加强大学外语、大学计算机、高等数学、教师教育类等课程的建设和改革。</w:t>
      </w:r>
    </w:p>
    <w:p>
      <w:pPr>
        <w:spacing w:line="360" w:lineRule="auto"/>
        <w:ind w:firstLine="480" w:firstLineChars="200"/>
        <w:rPr>
          <w:rFonts w:ascii="宋体" w:hAnsi="宋体"/>
          <w:sz w:val="24"/>
        </w:rPr>
      </w:pPr>
      <w:r>
        <w:rPr>
          <w:rFonts w:hint="eastAsia" w:ascii="宋体" w:hAnsi="宋体"/>
          <w:sz w:val="24"/>
        </w:rPr>
        <w:t>鼓励教师编写应用型教材，完善教材评审、评价与选用机制，加强对教材的建设、选用等的过程管理，积极探索教材建设与管理的改革。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加强实验室与实习基地建设，完善实践教学体系</w:t>
      </w:r>
    </w:p>
    <w:p>
      <w:pPr>
        <w:spacing w:line="360" w:lineRule="auto"/>
        <w:ind w:firstLine="480" w:firstLineChars="200"/>
        <w:rPr>
          <w:rFonts w:ascii="宋体" w:hAnsi="宋体"/>
          <w:sz w:val="24"/>
        </w:rPr>
      </w:pPr>
      <w:r>
        <w:rPr>
          <w:rFonts w:hint="eastAsia" w:ascii="宋体" w:hAnsi="宋体"/>
          <w:sz w:val="24"/>
        </w:rPr>
        <w:t>优化本科实验实践教学体系；合理设置和布局实验室，突出实验室共享平台建设，建立以专业或专业聚群为基础的跨学院、跨专业的实验教学中心；完善实验室校院两级管理体制与规章制度，规范实验教学管理；吸纳社会优质资源，建设多元化的实习实训基地；加大对本科学生的科研训练和创业训练；切实实施实践教学各环节质量标准，提高实践教学质量。</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深化人才培养模式改革，提高人才培养质量</w:t>
      </w:r>
    </w:p>
    <w:p>
      <w:pPr>
        <w:spacing w:line="360" w:lineRule="auto"/>
        <w:ind w:firstLine="480" w:firstLineChars="200"/>
        <w:rPr>
          <w:rFonts w:ascii="宋体" w:hAnsi="宋体"/>
          <w:sz w:val="24"/>
        </w:rPr>
      </w:pPr>
      <w:r>
        <w:rPr>
          <w:rFonts w:hint="eastAsia" w:ascii="宋体" w:hAnsi="宋体"/>
          <w:sz w:val="24"/>
        </w:rPr>
        <w:t>根据素质教育和经济社会发展对人才培养提出的新要求，准确定位人才培养目标和规格标准，优化人才培养方案，积极探索以学生为本的应用型人才培养有效途径，努力为学生全面发展提供优质和个性化的服务。加强与行业、企业单位的合作，探索针对岗位群需要的、以能力为本位的教学模式，完善本科生个性化培养方案，培养学生创新精神与实践能力。根据教师教育和各种工程师资质认证的发展趋势，在相关专业的人才培养中开展资质认证试点工作，把强化基础知识和强调实践操作能力有机结合。实施辅修专业、辅修课程制度，不断提高毕业生适应社会的能力。通过教学改革立项等机制，鼓励教师开展教学研究与改革，探索教学规律，培育教学成果。</w:t>
      </w:r>
    </w:p>
    <w:p>
      <w:pPr>
        <w:pStyle w:val="10"/>
        <w:spacing w:before="0" w:beforeAutospacing="0" w:after="0" w:afterAutospacing="0" w:line="360" w:lineRule="auto"/>
        <w:ind w:firstLine="480" w:firstLineChars="200"/>
        <w:rPr>
          <w:rFonts w:cs="Tahoma"/>
          <w:bCs/>
        </w:rPr>
      </w:pPr>
      <w:r>
        <w:rPr>
          <w:rFonts w:hint="eastAsia" w:cs="Tahoma"/>
          <w:bCs/>
        </w:rPr>
        <w:t>（四）进一步加强教学质量监控，落实教学管理体制与运行机制</w:t>
      </w:r>
    </w:p>
    <w:p>
      <w:pPr>
        <w:pStyle w:val="10"/>
        <w:spacing w:before="0" w:beforeAutospacing="0" w:after="0" w:afterAutospacing="0" w:line="360" w:lineRule="auto"/>
        <w:ind w:firstLine="530" w:firstLineChars="221"/>
        <w:rPr>
          <w:rFonts w:cs="Tahoma"/>
        </w:rPr>
      </w:pPr>
      <w:r>
        <w:rPr>
          <w:rFonts w:hint="eastAsia" w:cs="Tahoma"/>
        </w:rPr>
        <w:t>从狠抓教风、学风建设入手，不断研究和完善包括教学建设、教学运行、教学质量、实践教学、学生管理、教师管理、岗位职责等在内的教学管理规章制度，并狠抓落实和执行。同时，开展专业评估、课程评估等各种专项评估，以评促建，以评促管。加强毕业论文（设计、创作等）、试卷、教案、教学日历、实验（实习）报告的规范管理，不断完善教学检查制度、教学督导制度、教学评估等制度，有效地建立起教学质量监控与教学评估的长效机制。</w:t>
      </w:r>
    </w:p>
    <w:p>
      <w:pPr>
        <w:spacing w:line="360" w:lineRule="auto"/>
        <w:ind w:firstLine="480" w:firstLineChars="200"/>
        <w:rPr>
          <w:rFonts w:ascii="宋体" w:hAnsi="宋体"/>
          <w:sz w:val="24"/>
        </w:rPr>
      </w:pPr>
      <w:r>
        <w:rPr>
          <w:rFonts w:hint="eastAsia" w:ascii="宋体" w:hAnsi="宋体" w:cs="Tahoma"/>
          <w:sz w:val="24"/>
        </w:rPr>
        <w:t>围绕多样化人才培养目标改革，进一步规范和理清教学管理职能部门、二级教学单位与相应的专门委员会等相关机构的工作职责，使管理重心下移，明确各级教学管理主体的责、权、利，建立卓有成效的教学管理制度和机制。</w:t>
      </w:r>
    </w:p>
    <w:p>
      <w:pPr>
        <w:spacing w:line="360" w:lineRule="auto"/>
        <w:ind w:firstLine="482" w:firstLineChars="200"/>
        <w:rPr>
          <w:rFonts w:ascii="宋体" w:hAnsi="宋体"/>
          <w:b/>
          <w:sz w:val="24"/>
        </w:rPr>
      </w:pPr>
      <w:r>
        <w:rPr>
          <w:rFonts w:hint="eastAsia" w:ascii="宋体" w:hAnsi="宋体"/>
          <w:b/>
          <w:sz w:val="24"/>
        </w:rPr>
        <w:t>六、实施保障</w:t>
      </w:r>
    </w:p>
    <w:p>
      <w:pPr>
        <w:spacing w:line="360" w:lineRule="auto"/>
        <w:ind w:firstLine="480" w:firstLineChars="200"/>
        <w:rPr>
          <w:rFonts w:ascii="宋体" w:hAnsi="宋体"/>
          <w:sz w:val="24"/>
        </w:rPr>
      </w:pPr>
      <w:r>
        <w:rPr>
          <w:rFonts w:hint="eastAsia" w:ascii="宋体" w:hAnsi="宋体"/>
          <w:sz w:val="24"/>
        </w:rPr>
        <w:t>（一）加强专业建设的组织领导与管理</w:t>
      </w:r>
    </w:p>
    <w:p>
      <w:pPr>
        <w:spacing w:line="360" w:lineRule="auto"/>
        <w:ind w:firstLine="480" w:firstLineChars="200"/>
        <w:rPr>
          <w:rFonts w:ascii="宋体" w:hAnsi="宋体"/>
          <w:sz w:val="24"/>
        </w:rPr>
      </w:pPr>
      <w:r>
        <w:rPr>
          <w:rFonts w:hint="eastAsia" w:ascii="宋体" w:hAnsi="宋体"/>
          <w:sz w:val="24"/>
        </w:rPr>
        <w:t>专业建设是高校教学建设的一项重要的系统工程，它涵盖了师资队伍建设、课程建设、教材建设、实验室建设、实践教学基地建设、学风建设等诸项建设内容，涉及各教学单位和各职能部门，需要各级领导的高度重视和广大教师积极参与。学校成立教学工作委员会，学校教学工作委员会是学校专业建设的领导机构，教务处负责日常事务。各二级学院要发挥专业建设的主体作用，认真谋划专业发展、人才培养、教学改革、课程、师资队伍、实验室和实习基地、教学制度建设等，充分论证专业建设规划。各二级学院要将专业建设规划纳入学院发展规划中，各专业应制定详细的专业建设与发展实施计划。</w:t>
      </w:r>
    </w:p>
    <w:p>
      <w:pPr>
        <w:spacing w:line="360" w:lineRule="auto"/>
        <w:ind w:firstLine="480" w:firstLineChars="200"/>
        <w:rPr>
          <w:rFonts w:ascii="宋体" w:hAnsi="宋体"/>
          <w:sz w:val="24"/>
        </w:rPr>
      </w:pPr>
      <w:r>
        <w:rPr>
          <w:rFonts w:hint="eastAsia" w:ascii="宋体" w:hAnsi="宋体"/>
          <w:sz w:val="24"/>
        </w:rPr>
        <w:t>（二）保证专业建设经费的投入</w:t>
      </w:r>
    </w:p>
    <w:p>
      <w:pPr>
        <w:spacing w:line="360" w:lineRule="auto"/>
        <w:ind w:firstLine="480" w:firstLineChars="200"/>
        <w:rPr>
          <w:rFonts w:ascii="宋体" w:hAnsi="宋体"/>
          <w:sz w:val="24"/>
        </w:rPr>
      </w:pPr>
      <w:r>
        <w:rPr>
          <w:rFonts w:hint="eastAsia" w:ascii="宋体" w:hAnsi="宋体"/>
          <w:sz w:val="24"/>
        </w:rPr>
        <w:t>学校每年设立专业建设专项经费，调整经费支出结构，按不低于学费收入25%的比例进行四项教学经费投入，保障教学开支，落实专业建设各项配套经费。专业综合改革和新专业建设经费视其建设需要进行专项预算，</w:t>
      </w:r>
      <w:r>
        <w:rPr>
          <w:rFonts w:ascii="宋体" w:hAnsi="宋体"/>
          <w:sz w:val="24"/>
        </w:rPr>
        <w:t>对立项建设的省级</w:t>
      </w:r>
      <w:r>
        <w:rPr>
          <w:rFonts w:hint="eastAsia" w:ascii="宋体" w:hAnsi="宋体"/>
          <w:sz w:val="24"/>
        </w:rPr>
        <w:t>专业建设项目，</w:t>
      </w:r>
      <w:r>
        <w:rPr>
          <w:rFonts w:ascii="宋体" w:hAnsi="宋体"/>
          <w:sz w:val="24"/>
        </w:rPr>
        <w:t>学校将分别按（校级）1：1标准配套经费</w:t>
      </w:r>
      <w:r>
        <w:rPr>
          <w:rFonts w:hint="eastAsia" w:ascii="宋体" w:hAnsi="宋体"/>
          <w:sz w:val="24"/>
        </w:rPr>
        <w:t>资助，并在相关教学设备等实验条件和师资队伍建设给予政策支持。各二级学院要积极筹措专业建设的配套资金并加强经费的管理和监督。</w:t>
      </w:r>
    </w:p>
    <w:p>
      <w:pPr>
        <w:spacing w:line="360" w:lineRule="auto"/>
        <w:ind w:firstLine="480" w:firstLineChars="200"/>
        <w:rPr>
          <w:rFonts w:ascii="宋体" w:hAnsi="宋体"/>
          <w:sz w:val="24"/>
        </w:rPr>
      </w:pPr>
      <w:r>
        <w:rPr>
          <w:rFonts w:hint="eastAsia" w:ascii="宋体" w:hAnsi="宋体"/>
          <w:sz w:val="24"/>
        </w:rPr>
        <w:t>（三）强化实践教学平台建设</w:t>
      </w:r>
    </w:p>
    <w:p>
      <w:pPr>
        <w:spacing w:line="360" w:lineRule="auto"/>
        <w:ind w:firstLine="480" w:firstLineChars="200"/>
        <w:rPr>
          <w:rFonts w:ascii="宋体" w:hAnsi="宋体"/>
          <w:sz w:val="24"/>
        </w:rPr>
      </w:pPr>
      <w:r>
        <w:rPr>
          <w:rFonts w:hint="eastAsia" w:ascii="宋体" w:hAnsi="宋体"/>
          <w:sz w:val="24"/>
        </w:rPr>
        <w:t>实践教学是重要的教学环节，学校将在实验条件保障、实验教学队伍建设和课程体系上进一步完善并加强建设。</w:t>
      </w:r>
    </w:p>
    <w:p>
      <w:pPr>
        <w:spacing w:line="360" w:lineRule="auto"/>
        <w:ind w:firstLine="480" w:firstLineChars="200"/>
        <w:rPr>
          <w:rFonts w:ascii="宋体" w:hAnsi="宋体"/>
          <w:sz w:val="24"/>
        </w:rPr>
      </w:pPr>
      <w:r>
        <w:rPr>
          <w:rFonts w:hint="eastAsia" w:ascii="宋体" w:hAnsi="宋体"/>
          <w:sz w:val="24"/>
        </w:rPr>
        <w:t>（四）加强制度建设，完善评估体系</w:t>
      </w:r>
    </w:p>
    <w:p>
      <w:pPr>
        <w:spacing w:line="360" w:lineRule="auto"/>
        <w:ind w:firstLine="480" w:firstLineChars="200"/>
        <w:rPr>
          <w:rFonts w:ascii="宋体" w:hAnsi="宋体"/>
          <w:sz w:val="24"/>
        </w:rPr>
      </w:pPr>
      <w:r>
        <w:rPr>
          <w:rFonts w:ascii="宋体" w:hAnsi="宋体"/>
          <w:sz w:val="24"/>
        </w:rPr>
        <w:t>加</w:t>
      </w:r>
      <w:r>
        <w:rPr>
          <w:rFonts w:hint="eastAsia" w:ascii="宋体" w:hAnsi="宋体"/>
          <w:sz w:val="24"/>
        </w:rPr>
        <w:t>强教学基本文件的建设与执行，不断完善本科专业的人才培养方案和教学大纲等教学基本文件，强化教学常规管理，确保教学管理工作规范运行。不断完善专业评估与检查制度，建立专业准入与退出、专业信息反馈机制，定期</w:t>
      </w:r>
      <w:bookmarkEnd w:id="11"/>
      <w:bookmarkEnd w:id="12"/>
      <w:r>
        <w:rPr>
          <w:rFonts w:hint="eastAsia" w:ascii="宋体" w:hAnsi="宋体"/>
          <w:sz w:val="24"/>
        </w:rPr>
        <w:t>开展专业、课程等专项评估。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jc w:val="right"/>
        <w:rPr>
          <w:rFonts w:ascii="宋体" w:hAnsi="宋体"/>
          <w:bCs/>
          <w:sz w:val="24"/>
        </w:rPr>
      </w:pPr>
      <w:r>
        <w:rPr>
          <w:rFonts w:hint="eastAsia" w:ascii="宋体" w:hAnsi="宋体"/>
          <w:bCs/>
          <w:sz w:val="24"/>
        </w:rPr>
        <w:t>二〇一六年六月十四日</w:t>
      </w:r>
    </w:p>
    <w:p>
      <w:pPr>
        <w:spacing w:line="360" w:lineRule="auto"/>
        <w:ind w:firstLine="480" w:firstLineChars="200"/>
        <w:rPr>
          <w:rFonts w:ascii="宋体" w:hAnsi="宋体"/>
          <w:sz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ind w:firstLine="643" w:firstLineChars="200"/>
        <w:jc w:val="center"/>
        <w:rPr>
          <w:rFonts w:ascii="宋体" w:hAnsi="宋体"/>
          <w:b/>
          <w:sz w:val="32"/>
          <w:szCs w:val="32"/>
        </w:rPr>
      </w:pPr>
      <w:r>
        <w:rPr>
          <w:rFonts w:hint="eastAsia" w:ascii="宋体" w:hAnsi="宋体"/>
          <w:b/>
          <w:sz w:val="32"/>
          <w:szCs w:val="32"/>
        </w:rPr>
        <w:t>内江师范学院</w:t>
      </w:r>
    </w:p>
    <w:p>
      <w:pPr>
        <w:spacing w:line="560" w:lineRule="exact"/>
        <w:ind w:firstLine="643" w:firstLineChars="200"/>
        <w:jc w:val="center"/>
        <w:rPr>
          <w:rFonts w:ascii="宋体" w:hAnsi="宋体"/>
          <w:b/>
          <w:sz w:val="32"/>
          <w:szCs w:val="32"/>
        </w:rPr>
      </w:pPr>
      <w:r>
        <w:rPr>
          <w:rFonts w:hint="eastAsia" w:ascii="宋体" w:hAnsi="宋体"/>
          <w:b/>
          <w:sz w:val="32"/>
          <w:szCs w:val="32"/>
        </w:rPr>
        <w:t>教学实验室建设“十三五”事业发展规划</w:t>
      </w:r>
    </w:p>
    <w:p>
      <w:pPr>
        <w:spacing w:line="560" w:lineRule="exact"/>
        <w:ind w:firstLine="562" w:firstLineChars="200"/>
        <w:jc w:val="center"/>
        <w:rPr>
          <w:rFonts w:ascii="宋体" w:hAnsi="宋体"/>
          <w:b/>
          <w:sz w:val="28"/>
          <w:szCs w:val="28"/>
        </w:rPr>
      </w:pPr>
      <w:r>
        <w:rPr>
          <w:rFonts w:hint="eastAsia" w:ascii="宋体" w:hAnsi="宋体"/>
          <w:b/>
          <w:sz w:val="28"/>
          <w:szCs w:val="28"/>
        </w:rPr>
        <w:t>（2016—2020年）</w:t>
      </w:r>
    </w:p>
    <w:p>
      <w:pPr>
        <w:spacing w:before="156" w:beforeLines="50" w:after="156" w:afterLines="50" w:line="560" w:lineRule="exact"/>
        <w:rPr>
          <w:rFonts w:ascii="宋体" w:hAnsi="宋体"/>
          <w:b/>
          <w:sz w:val="32"/>
          <w:szCs w:val="32"/>
        </w:rPr>
      </w:pPr>
    </w:p>
    <w:p>
      <w:pPr>
        <w:spacing w:line="360" w:lineRule="auto"/>
        <w:ind w:firstLine="480" w:firstLineChars="200"/>
        <w:rPr>
          <w:rFonts w:ascii="宋体" w:hAnsi="宋体"/>
          <w:sz w:val="24"/>
          <w:szCs w:val="24"/>
        </w:rPr>
      </w:pPr>
      <w:r>
        <w:rPr>
          <w:rFonts w:hint="eastAsia" w:ascii="宋体" w:hAnsi="宋体"/>
          <w:sz w:val="24"/>
          <w:szCs w:val="24"/>
        </w:rPr>
        <w:t>实验室是高校教学的重要场所，承担着培养学生实践能力、创新能力的重要任务。为深入推进学校转型发展，根据学校“十三五事业发展规划”对人才培养、专业建设的要求，特制定本规划。本规划中的实验室是指进行教学的实验教学平台（中心）、学生创新创业训练的实践中心。</w:t>
      </w:r>
    </w:p>
    <w:p>
      <w:pPr>
        <w:spacing w:line="360" w:lineRule="auto"/>
        <w:ind w:firstLine="482" w:firstLineChars="200"/>
        <w:rPr>
          <w:rFonts w:ascii="宋体" w:hAnsi="宋体"/>
          <w:b/>
          <w:sz w:val="24"/>
          <w:szCs w:val="24"/>
        </w:rPr>
      </w:pPr>
      <w:r>
        <w:rPr>
          <w:rFonts w:hint="eastAsia" w:ascii="宋体" w:hAnsi="宋体"/>
          <w:b/>
          <w:sz w:val="24"/>
          <w:szCs w:val="24"/>
        </w:rPr>
        <w:t>一、实验室建设“十三五”规划的基础与背景</w:t>
      </w:r>
    </w:p>
    <w:p>
      <w:pPr>
        <w:spacing w:line="360" w:lineRule="auto"/>
        <w:ind w:firstLine="480" w:firstLineChars="200"/>
        <w:rPr>
          <w:rFonts w:ascii="宋体" w:hAnsi="宋体"/>
          <w:sz w:val="24"/>
          <w:szCs w:val="24"/>
        </w:rPr>
      </w:pPr>
      <w:r>
        <w:rPr>
          <w:rFonts w:hint="eastAsia" w:ascii="宋体" w:hAnsi="宋体"/>
          <w:sz w:val="24"/>
          <w:szCs w:val="24"/>
        </w:rPr>
        <w:t>（一）“十二五”取得的成绩</w:t>
      </w:r>
    </w:p>
    <w:p>
      <w:pPr>
        <w:spacing w:line="360" w:lineRule="auto"/>
        <w:ind w:firstLine="480" w:firstLineChars="200"/>
        <w:rPr>
          <w:rFonts w:ascii="宋体" w:hAnsi="宋体"/>
          <w:sz w:val="24"/>
          <w:szCs w:val="24"/>
        </w:rPr>
      </w:pPr>
      <w:r>
        <w:rPr>
          <w:rFonts w:hint="eastAsia" w:ascii="宋体" w:hAnsi="宋体"/>
          <w:sz w:val="24"/>
          <w:szCs w:val="24"/>
        </w:rPr>
        <w:t>“十二五”期间，学校实验室规模不断扩大，实验室建设水平显著提高。目前，学校共有正式建制的实验室（中心）27个，其中：省级实验教学示范中心2个，校级实验教学示范中心3个。学校现有实验用房总建筑面积44507</w:t>
      </w:r>
      <w:r>
        <w:rPr>
          <w:rFonts w:hint="eastAsia" w:ascii="宋体" w:hAnsi="宋体" w:cs="宋体"/>
          <w:sz w:val="24"/>
          <w:szCs w:val="24"/>
        </w:rPr>
        <w:t>㎡</w:t>
      </w:r>
      <w:r>
        <w:rPr>
          <w:rFonts w:hint="eastAsia" w:ascii="宋体" w:hAnsi="宋体"/>
          <w:sz w:val="24"/>
          <w:szCs w:val="24"/>
        </w:rPr>
        <w:t>，各类教学科研设备21905台件，总值14870万元，其中单价在10万元以上的大型仪器设备119台（件），价值2904万元。学校现有专职实验技术人员44人，其中：高级职称10人，占23%，中级职称17人，占39%，研究生8人，占18%。</w:t>
      </w:r>
    </w:p>
    <w:p>
      <w:pPr>
        <w:spacing w:line="360" w:lineRule="auto"/>
        <w:ind w:firstLine="480" w:firstLineChars="200"/>
        <w:rPr>
          <w:rFonts w:ascii="宋体" w:hAnsi="宋体"/>
          <w:sz w:val="24"/>
          <w:szCs w:val="24"/>
        </w:rPr>
      </w:pPr>
      <w:r>
        <w:rPr>
          <w:rFonts w:hint="eastAsia" w:ascii="宋体" w:hAnsi="宋体"/>
          <w:sz w:val="24"/>
          <w:szCs w:val="24"/>
        </w:rPr>
        <w:t>目前，学校已初步建立了校、院两级实验室管理体系，形成了比较完善的实验室运行机制。实验室建设实行项目制管理，管理水平和实验室使用率有所提高；实验设施条件明显改善，实验设备已达较好水平；实验室开放及大型仪器共享取得了一定的进展，各教学实验室不仅实现了教学实验项目的开放，同时结合教师、学生的科研工作和各类学科竞赛面向师生开放，为应用型人才培养、科学研究和社会服务提供了良好的平台，为学校发展做出了贡献。</w:t>
      </w:r>
    </w:p>
    <w:p>
      <w:pPr>
        <w:spacing w:line="360" w:lineRule="auto"/>
        <w:ind w:firstLine="480" w:firstLineChars="200"/>
        <w:rPr>
          <w:rFonts w:ascii="宋体" w:hAnsi="宋体"/>
          <w:sz w:val="24"/>
          <w:szCs w:val="24"/>
        </w:rPr>
      </w:pPr>
      <w:r>
        <w:rPr>
          <w:rFonts w:hint="eastAsia" w:ascii="宋体" w:hAnsi="宋体"/>
          <w:sz w:val="24"/>
          <w:szCs w:val="24"/>
        </w:rPr>
        <w:t>（二）“十二五”存在的问题</w:t>
      </w:r>
    </w:p>
    <w:p>
      <w:pPr>
        <w:spacing w:line="360" w:lineRule="auto"/>
        <w:ind w:firstLine="480" w:firstLineChars="200"/>
        <w:rPr>
          <w:rFonts w:ascii="宋体" w:hAnsi="宋体"/>
          <w:sz w:val="24"/>
          <w:szCs w:val="24"/>
        </w:rPr>
      </w:pPr>
      <w:r>
        <w:rPr>
          <w:rFonts w:hint="eastAsia" w:ascii="宋体" w:hAnsi="宋体"/>
          <w:sz w:val="24"/>
          <w:szCs w:val="24"/>
        </w:rPr>
        <w:t>“十二五”期间，学校的实验室建设虽然取得了一定成绩。但是，与学校发展的要求相比，还存在着一定不足，主要表现在：</w:t>
      </w:r>
    </w:p>
    <w:p>
      <w:pPr>
        <w:spacing w:line="360" w:lineRule="auto"/>
        <w:ind w:firstLine="480" w:firstLineChars="200"/>
        <w:rPr>
          <w:rFonts w:ascii="宋体" w:hAnsi="宋体"/>
          <w:sz w:val="24"/>
          <w:szCs w:val="24"/>
        </w:rPr>
      </w:pPr>
      <w:r>
        <w:rPr>
          <w:rFonts w:hint="eastAsia" w:ascii="宋体" w:hAnsi="宋体"/>
          <w:sz w:val="24"/>
          <w:szCs w:val="24"/>
        </w:rPr>
        <w:t>1．对实验教学的重视程度不高，认为实验教学是理论教学的附属，教师不愿意在实验教学上投入更多精力；</w:t>
      </w:r>
    </w:p>
    <w:p>
      <w:pPr>
        <w:spacing w:line="360" w:lineRule="auto"/>
        <w:ind w:firstLine="480" w:firstLineChars="200"/>
        <w:rPr>
          <w:rFonts w:ascii="宋体" w:hAnsi="宋体"/>
          <w:sz w:val="24"/>
          <w:szCs w:val="24"/>
        </w:rPr>
      </w:pPr>
      <w:r>
        <w:rPr>
          <w:rFonts w:hint="eastAsia" w:ascii="宋体" w:hAnsi="宋体"/>
          <w:sz w:val="24"/>
          <w:szCs w:val="24"/>
        </w:rPr>
        <w:t>2．对实验室建设的认识和规划不够到位，实验室布局结构和资源配置不尽合理，重复建设多，实验室利用率还不够高，开放效果还不太理想；</w:t>
      </w:r>
    </w:p>
    <w:p>
      <w:pPr>
        <w:spacing w:line="360" w:lineRule="auto"/>
        <w:ind w:firstLine="480" w:firstLineChars="200"/>
        <w:rPr>
          <w:rFonts w:ascii="宋体" w:hAnsi="宋体"/>
          <w:sz w:val="24"/>
          <w:szCs w:val="24"/>
        </w:rPr>
      </w:pPr>
      <w:r>
        <w:rPr>
          <w:rFonts w:hint="eastAsia" w:ascii="宋体" w:hAnsi="宋体"/>
          <w:sz w:val="24"/>
          <w:szCs w:val="24"/>
        </w:rPr>
        <w:t>3．专职实验教师和实验技术人员队伍建设有待加强，考评体系有待完善。目前，学校专职实验教师和实验技术人员总体人数偏少，学历和职称偏低，独立承担实验教学任务的能力不强，管理能力和技术水平还有待于进一步提高。</w:t>
      </w:r>
    </w:p>
    <w:p>
      <w:pPr>
        <w:spacing w:line="360" w:lineRule="auto"/>
        <w:ind w:firstLine="480" w:firstLineChars="200"/>
        <w:rPr>
          <w:rFonts w:ascii="宋体" w:hAnsi="宋体"/>
          <w:sz w:val="24"/>
          <w:szCs w:val="24"/>
        </w:rPr>
      </w:pPr>
      <w:r>
        <w:rPr>
          <w:rFonts w:hint="eastAsia" w:ascii="宋体" w:hAnsi="宋体"/>
          <w:sz w:val="24"/>
          <w:szCs w:val="24"/>
        </w:rPr>
        <w:t>（三）“十三五”面临的机遇与挑战</w:t>
      </w:r>
    </w:p>
    <w:p>
      <w:pPr>
        <w:spacing w:line="360" w:lineRule="auto"/>
        <w:ind w:firstLine="480" w:firstLineChars="200"/>
        <w:rPr>
          <w:rFonts w:ascii="宋体" w:hAnsi="宋体"/>
          <w:sz w:val="24"/>
          <w:szCs w:val="24"/>
        </w:rPr>
      </w:pPr>
      <w:r>
        <w:rPr>
          <w:rFonts w:hint="eastAsia" w:ascii="宋体" w:hAnsi="宋体"/>
          <w:sz w:val="24"/>
          <w:szCs w:val="24"/>
        </w:rPr>
        <w:t>1.发展机遇</w:t>
      </w:r>
    </w:p>
    <w:p>
      <w:pPr>
        <w:spacing w:line="360" w:lineRule="auto"/>
        <w:ind w:firstLine="480" w:firstLineChars="200"/>
        <w:rPr>
          <w:rFonts w:ascii="宋体" w:hAnsi="宋体"/>
          <w:sz w:val="24"/>
          <w:szCs w:val="24"/>
        </w:rPr>
      </w:pPr>
      <w:r>
        <w:rPr>
          <w:rFonts w:hint="eastAsia" w:ascii="宋体" w:hAnsi="宋体"/>
          <w:sz w:val="24"/>
          <w:szCs w:val="24"/>
        </w:rPr>
        <w:t>（1）《国家中长期教育改革和发展规划纲要》的颁布实施给实验室建设和发展提供了更好的机遇。创新型国家建设的关键是人才，实验室是创新人才能力要素培养的重要渠道和载体。《国家中长期教育改革和发展规划纲要》指出：加强实验室、校内外实习基地等教学基本建设，支持学生参与科学研究，强化实践教学环节，推进创业教育；加强高校重点科研创新基地与科技创新平台建设。为实验室建设提供了强大的舆论氛围和推动力，中央财政已开始支持地方高校的建设。这一切为我校实验室建设和发展提供了良好机遇。</w:t>
      </w:r>
    </w:p>
    <w:p>
      <w:pPr>
        <w:spacing w:line="360" w:lineRule="auto"/>
        <w:ind w:firstLine="480" w:firstLineChars="200"/>
        <w:rPr>
          <w:rFonts w:ascii="宋体" w:hAnsi="宋体"/>
          <w:sz w:val="24"/>
          <w:szCs w:val="24"/>
        </w:rPr>
      </w:pPr>
      <w:r>
        <w:rPr>
          <w:rFonts w:hint="eastAsia" w:ascii="宋体" w:hAnsi="宋体"/>
          <w:sz w:val="24"/>
          <w:szCs w:val="24"/>
        </w:rPr>
        <w:t>（2）学校转型发展对学生能力培养提出了更高要求，为实验室建设和发展指明了方向。</w:t>
      </w:r>
    </w:p>
    <w:p>
      <w:pPr>
        <w:spacing w:line="360" w:lineRule="auto"/>
        <w:ind w:firstLine="480" w:firstLineChars="200"/>
        <w:rPr>
          <w:rFonts w:ascii="宋体" w:hAnsi="宋体"/>
          <w:sz w:val="24"/>
          <w:szCs w:val="24"/>
        </w:rPr>
      </w:pPr>
      <w:r>
        <w:rPr>
          <w:rFonts w:hint="eastAsia" w:ascii="宋体" w:hAnsi="宋体"/>
          <w:sz w:val="24"/>
          <w:szCs w:val="24"/>
        </w:rPr>
        <w:t>（3）实践教学改革对实验室建设和发展提出了新的内涵要求</w:t>
      </w:r>
    </w:p>
    <w:p>
      <w:pPr>
        <w:spacing w:line="360" w:lineRule="auto"/>
        <w:ind w:firstLine="480" w:firstLineChars="200"/>
        <w:rPr>
          <w:rFonts w:ascii="宋体" w:hAnsi="宋体"/>
          <w:sz w:val="24"/>
          <w:szCs w:val="24"/>
        </w:rPr>
      </w:pPr>
      <w:r>
        <w:rPr>
          <w:rFonts w:hint="eastAsia" w:ascii="宋体" w:hAnsi="宋体"/>
          <w:sz w:val="24"/>
          <w:szCs w:val="24"/>
        </w:rPr>
        <w:t>随着实践教学改革的不断深入，实验教学正经历着由传统“教学实验”向“实验教学体系”的转变，从依附到相对独立的转变，从被动到相对自主的转变，从单一到相对多样的转变，从封闭到全面开放的转变。这种以学生为主体，以自主研学为内容，多层次、个性化和全方位开放的实验教学模式对实验室建设和发展提出了新的内涵要求，即：实验室建设不仅仅是简单的硬件条件建设，而是要通过“理念、体系、队伍、条件、管理、运行、效益、特色”等的有机融合与提升，形成现代化开放式的“实验教学体系”。</w:t>
      </w:r>
    </w:p>
    <w:p>
      <w:pPr>
        <w:spacing w:line="360" w:lineRule="auto"/>
        <w:ind w:firstLine="480" w:firstLineChars="200"/>
        <w:rPr>
          <w:rFonts w:ascii="宋体" w:hAnsi="宋体"/>
          <w:sz w:val="24"/>
          <w:szCs w:val="24"/>
        </w:rPr>
      </w:pPr>
      <w:r>
        <w:rPr>
          <w:rFonts w:hint="eastAsia" w:ascii="宋体" w:hAnsi="宋体"/>
          <w:sz w:val="24"/>
          <w:szCs w:val="24"/>
        </w:rPr>
        <w:t>2.面临挑战</w:t>
      </w:r>
    </w:p>
    <w:p>
      <w:pPr>
        <w:spacing w:line="360" w:lineRule="auto"/>
        <w:ind w:firstLine="480" w:firstLineChars="200"/>
        <w:rPr>
          <w:rFonts w:ascii="宋体" w:hAnsi="宋体"/>
          <w:sz w:val="24"/>
          <w:szCs w:val="24"/>
        </w:rPr>
      </w:pPr>
      <w:r>
        <w:rPr>
          <w:rFonts w:hint="eastAsia" w:ascii="宋体" w:hAnsi="宋体"/>
          <w:sz w:val="24"/>
          <w:szCs w:val="24"/>
        </w:rPr>
        <w:t>（1）实验室管理体制和运行机制已不能满足学校的建设发展需求，体制、机制改革已迫在眉睫。目前我校的实验室建制多数是以每个专业各自满足教学需要而构建的，实验室散、小、弱，重复建设多，水平、利用率不高，开放、共享困难，运行机制僵化。为此，必须抓住新一轮发展机遇，一方面，创新实验室建设和运行机制，打破实验室建设的旧制，整合实验室的资源，提高实验设备利用率；另一方面，提升实验室的建设内涵，实现实验室建设跨越式发展。</w:t>
      </w:r>
    </w:p>
    <w:p>
      <w:pPr>
        <w:spacing w:line="360" w:lineRule="auto"/>
        <w:ind w:firstLine="480" w:firstLineChars="200"/>
        <w:rPr>
          <w:rFonts w:ascii="宋体" w:hAnsi="宋体"/>
          <w:sz w:val="24"/>
          <w:szCs w:val="24"/>
        </w:rPr>
      </w:pPr>
      <w:r>
        <w:rPr>
          <w:rFonts w:hint="eastAsia" w:ascii="宋体" w:hAnsi="宋体"/>
          <w:sz w:val="24"/>
          <w:szCs w:val="24"/>
        </w:rPr>
        <w:t>（2）按照学校“做精做优教师教育专业，做大做强应用型专业，做细做实基础长线专业”的发展思路，实验室的规划和发展也必须围绕和服从这一发展思路。并从注重实验室条件建设为主向提高实验室使用效益转变，不断提升实验室建设和管理水平，更好地服务学校人才培养和专业建设。</w:t>
      </w:r>
    </w:p>
    <w:p>
      <w:pPr>
        <w:spacing w:line="360" w:lineRule="auto"/>
        <w:ind w:firstLine="480" w:firstLineChars="200"/>
        <w:rPr>
          <w:rFonts w:ascii="宋体" w:hAnsi="宋体"/>
          <w:sz w:val="24"/>
          <w:szCs w:val="24"/>
        </w:rPr>
      </w:pPr>
      <w:r>
        <w:rPr>
          <w:rFonts w:hint="eastAsia" w:ascii="宋体" w:hAnsi="宋体"/>
          <w:sz w:val="24"/>
          <w:szCs w:val="24"/>
        </w:rPr>
        <w:t>（3）统筹全局，科学规划。现在我校实验室建设和发展面临的主要问题是场地紧张，新办专业的实验室得不到及时建设。因此，如何利用学校新校区建设这一利好时机谋划长远，做好科学规划，是我校实验室建设和发展所面临的重要机遇和挑战。</w:t>
      </w:r>
    </w:p>
    <w:p>
      <w:pPr>
        <w:spacing w:line="360" w:lineRule="auto"/>
        <w:ind w:firstLine="482" w:firstLineChars="200"/>
        <w:rPr>
          <w:rFonts w:ascii="宋体" w:hAnsi="宋体"/>
          <w:b/>
          <w:sz w:val="24"/>
          <w:szCs w:val="24"/>
        </w:rPr>
      </w:pPr>
      <w:bookmarkStart w:id="15" w:name="OLE_LINK7"/>
      <w:r>
        <w:rPr>
          <w:rFonts w:hint="eastAsia" w:ascii="宋体" w:hAnsi="宋体"/>
          <w:b/>
          <w:sz w:val="24"/>
          <w:szCs w:val="24"/>
        </w:rPr>
        <w:t>二、规划的思路和目标</w:t>
      </w:r>
    </w:p>
    <w:bookmarkEnd w:id="15"/>
    <w:p>
      <w:pPr>
        <w:spacing w:line="360" w:lineRule="auto"/>
        <w:ind w:firstLine="480" w:firstLineChars="200"/>
        <w:rPr>
          <w:rFonts w:ascii="宋体" w:hAnsi="宋体"/>
          <w:sz w:val="24"/>
          <w:szCs w:val="24"/>
        </w:rPr>
      </w:pPr>
      <w:r>
        <w:rPr>
          <w:rFonts w:hint="eastAsia" w:ascii="宋体" w:hAnsi="宋体"/>
          <w:sz w:val="24"/>
          <w:szCs w:val="24"/>
        </w:rPr>
        <w:t>（一）发展思路</w:t>
      </w:r>
    </w:p>
    <w:p>
      <w:pPr>
        <w:spacing w:line="360" w:lineRule="auto"/>
        <w:ind w:firstLine="480" w:firstLineChars="200"/>
        <w:rPr>
          <w:rFonts w:ascii="宋体" w:hAnsi="宋体"/>
          <w:sz w:val="24"/>
          <w:szCs w:val="24"/>
        </w:rPr>
      </w:pPr>
      <w:r>
        <w:rPr>
          <w:rFonts w:hint="eastAsia" w:ascii="宋体" w:hAnsi="宋体"/>
          <w:sz w:val="24"/>
          <w:szCs w:val="24"/>
        </w:rPr>
        <w:t>依照“先基础、后专业、再创新”的基本思路，按照“统筹规划，分步实施，集成建设，开放共享”的原则，坚持分类建设与分级管理相结合，打破专业壁垒，整合实验室资源，构建校院两级实验教学中心，保障人才培养质量；以专业建设为主线，打造学科基础实验平台、专业实验平台、创新实验平台，为人才培养和专业建设提供支撑；形成开放、竞争、高效的实验室运行与管理机制，不断提高实验室使用率和开放率。</w:t>
      </w:r>
    </w:p>
    <w:p>
      <w:pPr>
        <w:spacing w:line="360" w:lineRule="auto"/>
        <w:ind w:firstLine="480" w:firstLineChars="200"/>
        <w:rPr>
          <w:rFonts w:ascii="宋体" w:hAnsi="宋体"/>
          <w:sz w:val="24"/>
          <w:szCs w:val="24"/>
        </w:rPr>
      </w:pPr>
      <w:r>
        <w:rPr>
          <w:rFonts w:hint="eastAsia" w:ascii="宋体" w:hAnsi="宋体"/>
          <w:sz w:val="24"/>
          <w:szCs w:val="24"/>
        </w:rPr>
        <w:t>（二）发展目标</w:t>
      </w:r>
    </w:p>
    <w:p>
      <w:pPr>
        <w:spacing w:line="360" w:lineRule="auto"/>
        <w:ind w:firstLine="480" w:firstLineChars="200"/>
        <w:rPr>
          <w:rFonts w:ascii="宋体" w:hAnsi="宋体"/>
          <w:sz w:val="24"/>
          <w:szCs w:val="24"/>
        </w:rPr>
      </w:pPr>
      <w:r>
        <w:rPr>
          <w:rFonts w:hint="eastAsia" w:ascii="宋体" w:hAnsi="宋体"/>
          <w:sz w:val="24"/>
          <w:szCs w:val="24"/>
        </w:rPr>
        <w:t>1.总体目标</w:t>
      </w:r>
    </w:p>
    <w:p>
      <w:pPr>
        <w:spacing w:line="360" w:lineRule="auto"/>
        <w:ind w:firstLine="480" w:firstLineChars="200"/>
        <w:rPr>
          <w:rFonts w:ascii="宋体" w:hAnsi="宋体"/>
          <w:sz w:val="24"/>
          <w:szCs w:val="24"/>
        </w:rPr>
      </w:pPr>
      <w:r>
        <w:rPr>
          <w:rFonts w:hint="eastAsia" w:ascii="宋体" w:hAnsi="宋体"/>
          <w:sz w:val="24"/>
          <w:szCs w:val="24"/>
        </w:rPr>
        <w:t>整合现有实验室资源，构建校院两级实验教学中心，提高实验室的使用率和开放率。按专业集群逐步搭建基础实验平台、专业实验平台、创新实验平台，优化实验室资源配置，适时组建公共基础实验教学中心、工程实训中心、教师教育能力训练中心等实验（实训）中心。加大实验教学示范中心建设力度，力争达到省级实验教学示范中心验收标准并通过验收1-2个。加强实验室师资队伍建设，提高队伍的实验教学能力和管理水平，满足应用型人才培养需要。</w:t>
      </w:r>
    </w:p>
    <w:p>
      <w:pPr>
        <w:spacing w:line="360" w:lineRule="auto"/>
        <w:ind w:firstLine="480" w:firstLineChars="200"/>
        <w:rPr>
          <w:rFonts w:ascii="宋体" w:hAnsi="宋体"/>
          <w:sz w:val="24"/>
          <w:szCs w:val="24"/>
        </w:rPr>
      </w:pPr>
      <w:r>
        <w:rPr>
          <w:rFonts w:hint="eastAsia" w:ascii="宋体" w:hAnsi="宋体"/>
          <w:sz w:val="24"/>
          <w:szCs w:val="24"/>
        </w:rPr>
        <w:t>2.阶段目标</w:t>
      </w:r>
    </w:p>
    <w:p>
      <w:pPr>
        <w:spacing w:line="360" w:lineRule="auto"/>
        <w:ind w:firstLine="480" w:firstLineChars="200"/>
        <w:rPr>
          <w:rFonts w:ascii="宋体" w:hAnsi="宋体"/>
          <w:sz w:val="24"/>
          <w:szCs w:val="24"/>
        </w:rPr>
      </w:pPr>
      <w:r>
        <w:rPr>
          <w:rFonts w:hint="eastAsia" w:ascii="宋体" w:hAnsi="宋体"/>
          <w:sz w:val="24"/>
          <w:szCs w:val="24"/>
        </w:rPr>
        <w:t>（1）2016年重点</w:t>
      </w:r>
      <w:bookmarkStart w:id="16" w:name="OLE_LINK9"/>
      <w:bookmarkStart w:id="17" w:name="OLE_LINK8"/>
      <w:r>
        <w:rPr>
          <w:rFonts w:hint="eastAsia" w:ascii="宋体" w:hAnsi="宋体"/>
          <w:sz w:val="24"/>
          <w:szCs w:val="24"/>
        </w:rPr>
        <w:t>建设产品设计、服装与服饰设计、</w:t>
      </w:r>
      <w:bookmarkEnd w:id="16"/>
      <w:bookmarkEnd w:id="17"/>
      <w:r>
        <w:rPr>
          <w:rFonts w:hint="eastAsia" w:ascii="宋体" w:hAnsi="宋体"/>
          <w:sz w:val="24"/>
          <w:szCs w:val="24"/>
        </w:rPr>
        <w:t xml:space="preserve">物联网工程等新办专业教学实验室，加大对工程造价、土木工程、水产养殖学等转型试点专业教学实验室的投入；开始工程实训中心的分步建设。 </w:t>
      </w:r>
    </w:p>
    <w:p>
      <w:pPr>
        <w:spacing w:line="360" w:lineRule="auto"/>
        <w:ind w:firstLine="480" w:firstLineChars="200"/>
        <w:rPr>
          <w:rFonts w:ascii="宋体" w:hAnsi="宋体"/>
          <w:sz w:val="24"/>
          <w:szCs w:val="24"/>
        </w:rPr>
      </w:pPr>
      <w:bookmarkStart w:id="18" w:name="OLE_LINK13"/>
      <w:bookmarkStart w:id="19" w:name="OLE_LINK12"/>
      <w:r>
        <w:rPr>
          <w:rFonts w:hint="eastAsia" w:ascii="宋体" w:hAnsi="宋体"/>
          <w:sz w:val="24"/>
          <w:szCs w:val="24"/>
        </w:rPr>
        <w:t>（2）2017年</w:t>
      </w:r>
      <w:bookmarkEnd w:id="18"/>
      <w:bookmarkEnd w:id="19"/>
      <w:r>
        <w:rPr>
          <w:rFonts w:hint="eastAsia" w:ascii="宋体" w:hAnsi="宋体"/>
          <w:sz w:val="24"/>
          <w:szCs w:val="24"/>
        </w:rPr>
        <w:t>在保障基本教学需要的同时，按照工程实训中心、分析测试中心的建设目标进行重点投入；着手新校区教学实验室建设准备工作；出台相关政策鼓励实验室开放；开展实验技术人员培训，配合做好专职实验教师的引进工作。</w:t>
      </w:r>
    </w:p>
    <w:p>
      <w:pPr>
        <w:spacing w:line="360" w:lineRule="auto"/>
        <w:ind w:firstLine="480" w:firstLineChars="200"/>
        <w:rPr>
          <w:rFonts w:ascii="宋体" w:hAnsi="宋体"/>
          <w:sz w:val="24"/>
          <w:szCs w:val="24"/>
        </w:rPr>
      </w:pPr>
      <w:r>
        <w:rPr>
          <w:rFonts w:hint="eastAsia" w:ascii="宋体" w:hAnsi="宋体"/>
          <w:sz w:val="24"/>
          <w:szCs w:val="24"/>
        </w:rPr>
        <w:t>（3）2018年重点进行教师教育能力训练中心建设；有效整合实验室资源，适应专业集群建设发展需要；继续开展工程类实验室建设及新校区实验室建设准备工作。</w:t>
      </w:r>
    </w:p>
    <w:p>
      <w:pPr>
        <w:spacing w:line="360" w:lineRule="auto"/>
        <w:ind w:firstLine="480" w:firstLineChars="200"/>
        <w:rPr>
          <w:rFonts w:ascii="宋体" w:hAnsi="宋体"/>
          <w:sz w:val="24"/>
          <w:szCs w:val="24"/>
        </w:rPr>
      </w:pPr>
      <w:r>
        <w:rPr>
          <w:rFonts w:hint="eastAsia" w:ascii="宋体" w:hAnsi="宋体"/>
          <w:sz w:val="24"/>
          <w:szCs w:val="24"/>
        </w:rPr>
        <w:t>（4）2019年按规划完成实验室布局和调整；组建公共基础实验教学中心、工程实训中心、</w:t>
      </w:r>
      <w:bookmarkStart w:id="20" w:name="OLE_LINK14"/>
      <w:r>
        <w:rPr>
          <w:rFonts w:hint="eastAsia" w:ascii="宋体" w:hAnsi="宋体"/>
          <w:sz w:val="24"/>
          <w:szCs w:val="24"/>
        </w:rPr>
        <w:t>分析测试中心、</w:t>
      </w:r>
      <w:bookmarkEnd w:id="20"/>
      <w:r>
        <w:rPr>
          <w:rFonts w:hint="eastAsia" w:ascii="宋体" w:hAnsi="宋体"/>
          <w:sz w:val="24"/>
          <w:szCs w:val="24"/>
        </w:rPr>
        <w:t>教师教育能力训练中心。</w:t>
      </w:r>
    </w:p>
    <w:p>
      <w:pPr>
        <w:spacing w:line="360" w:lineRule="auto"/>
        <w:ind w:firstLine="480" w:firstLineChars="200"/>
        <w:rPr>
          <w:rFonts w:ascii="宋体" w:hAnsi="宋体"/>
          <w:sz w:val="24"/>
          <w:szCs w:val="24"/>
        </w:rPr>
      </w:pPr>
      <w:r>
        <w:rPr>
          <w:rFonts w:hint="eastAsia" w:ascii="宋体" w:hAnsi="宋体"/>
          <w:sz w:val="24"/>
          <w:szCs w:val="24"/>
        </w:rPr>
        <w:t>（5）2020年按照实验教学示范中心建设标准，重点打造工程实训中心、分析测试中心、教师教育能力训练中心，力争达到省级实验教学示范中心验收标准并通过验收1-2个。</w:t>
      </w:r>
    </w:p>
    <w:p>
      <w:pPr>
        <w:spacing w:line="360" w:lineRule="auto"/>
        <w:ind w:firstLine="482" w:firstLineChars="200"/>
        <w:rPr>
          <w:rFonts w:ascii="宋体" w:hAnsi="宋体"/>
          <w:b/>
          <w:sz w:val="24"/>
          <w:szCs w:val="24"/>
        </w:rPr>
      </w:pPr>
      <w:r>
        <w:rPr>
          <w:rFonts w:hint="eastAsia" w:ascii="宋体" w:hAnsi="宋体"/>
          <w:b/>
          <w:sz w:val="24"/>
          <w:szCs w:val="24"/>
        </w:rPr>
        <w:t>三、发展的任务</w:t>
      </w:r>
    </w:p>
    <w:p>
      <w:pPr>
        <w:spacing w:line="360" w:lineRule="auto"/>
        <w:ind w:firstLine="480" w:firstLineChars="200"/>
        <w:rPr>
          <w:rFonts w:ascii="宋体" w:hAnsi="宋体"/>
          <w:sz w:val="24"/>
          <w:szCs w:val="24"/>
        </w:rPr>
      </w:pPr>
      <w:r>
        <w:rPr>
          <w:rFonts w:hint="eastAsia" w:ascii="宋体" w:hAnsi="宋体"/>
          <w:sz w:val="24"/>
          <w:szCs w:val="24"/>
        </w:rPr>
        <w:t>（一）加强实验平台建设，实现实验室全面开放共享</w:t>
      </w:r>
    </w:p>
    <w:p>
      <w:pPr>
        <w:spacing w:line="360" w:lineRule="auto"/>
        <w:ind w:firstLine="480" w:firstLineChars="200"/>
        <w:rPr>
          <w:rFonts w:ascii="宋体" w:hAnsi="宋体"/>
          <w:sz w:val="24"/>
          <w:szCs w:val="24"/>
        </w:rPr>
      </w:pPr>
      <w:r>
        <w:rPr>
          <w:rFonts w:hint="eastAsia" w:ascii="宋体" w:hAnsi="宋体"/>
          <w:sz w:val="24"/>
          <w:szCs w:val="24"/>
        </w:rPr>
        <w:t>着力搭建基础实验平台、专业实验平台、创新实验平台。在此基础上，优化实验室资源配置，组建公共基础实验教学中心，建设工程实训中心、教师教育能力训练中心等实验（实训）中心，并逐步实现全天候开放共享、高效运行。加强校内实验教学示范中心建设，力争达到省级实验教学示范中心验收标准并通过验收1-2个。</w:t>
      </w:r>
    </w:p>
    <w:p>
      <w:pPr>
        <w:spacing w:line="360" w:lineRule="auto"/>
        <w:ind w:firstLine="480" w:firstLineChars="200"/>
        <w:rPr>
          <w:rFonts w:ascii="宋体" w:hAnsi="宋体"/>
          <w:sz w:val="24"/>
          <w:szCs w:val="24"/>
        </w:rPr>
      </w:pPr>
      <w:r>
        <w:rPr>
          <w:rFonts w:hint="eastAsia" w:ascii="宋体" w:hAnsi="宋体"/>
          <w:sz w:val="24"/>
          <w:szCs w:val="24"/>
        </w:rPr>
        <w:t>（二）加快信息化建设，实现实验室网络化、信息化、智能化管理</w:t>
      </w:r>
    </w:p>
    <w:p>
      <w:pPr>
        <w:spacing w:line="360" w:lineRule="auto"/>
        <w:ind w:firstLine="480" w:firstLineChars="200"/>
        <w:rPr>
          <w:rFonts w:ascii="宋体" w:hAnsi="宋体"/>
          <w:sz w:val="24"/>
          <w:szCs w:val="24"/>
        </w:rPr>
      </w:pPr>
      <w:r>
        <w:rPr>
          <w:rFonts w:hint="eastAsia" w:ascii="宋体" w:hAnsi="宋体"/>
          <w:sz w:val="24"/>
          <w:szCs w:val="24"/>
        </w:rPr>
        <w:t>以教学改革、本科教学工程和实验室管理体制与运行机制改革为契机，创新实验室信息化、智能化管理制度，推动实验教学资源和实验室管理的信息化，构建网络信息智能化实验室综合管理平台，大力推进教学实验室（平台）的全面开放，为深化创新创业教育提供有力支持。</w:t>
      </w:r>
    </w:p>
    <w:p>
      <w:pPr>
        <w:spacing w:line="360" w:lineRule="auto"/>
        <w:ind w:firstLine="480" w:firstLineChars="200"/>
        <w:rPr>
          <w:rFonts w:ascii="宋体" w:hAnsi="宋体"/>
          <w:sz w:val="24"/>
          <w:szCs w:val="24"/>
        </w:rPr>
      </w:pPr>
      <w:r>
        <w:rPr>
          <w:rFonts w:hint="eastAsia" w:ascii="宋体" w:hAnsi="宋体"/>
          <w:sz w:val="24"/>
          <w:szCs w:val="24"/>
        </w:rPr>
        <w:t>（三）加强实验教师队伍建设，适应应用型人才培养的需求</w:t>
      </w:r>
    </w:p>
    <w:p>
      <w:pPr>
        <w:spacing w:line="360" w:lineRule="auto"/>
        <w:ind w:firstLine="480" w:firstLineChars="200"/>
        <w:rPr>
          <w:rFonts w:ascii="宋体" w:hAnsi="宋体"/>
          <w:sz w:val="24"/>
          <w:szCs w:val="24"/>
        </w:rPr>
      </w:pPr>
      <w:r>
        <w:rPr>
          <w:rFonts w:hint="eastAsia" w:ascii="宋体" w:hAnsi="宋体"/>
          <w:sz w:val="24"/>
          <w:szCs w:val="24"/>
        </w:rPr>
        <w:t>根据岗位需求，一方面组织实验技术人员参加进修、培训，另一方面配合做好专职实验教师的引进工作，着力建设一支相对稳定的高素质专职实验教师队伍，为应用型人才培养提供保障。</w:t>
      </w:r>
    </w:p>
    <w:p>
      <w:pPr>
        <w:spacing w:line="360" w:lineRule="auto"/>
        <w:ind w:firstLine="480" w:firstLineChars="200"/>
        <w:rPr>
          <w:rFonts w:ascii="宋体" w:hAnsi="宋体"/>
          <w:sz w:val="24"/>
          <w:szCs w:val="24"/>
        </w:rPr>
      </w:pPr>
      <w:r>
        <w:rPr>
          <w:rFonts w:hint="eastAsia" w:ascii="宋体" w:hAnsi="宋体"/>
          <w:sz w:val="24"/>
          <w:szCs w:val="24"/>
        </w:rPr>
        <w:t>（四）完善实验室安全监管制度，推进实验室安全防控体系建设</w:t>
      </w:r>
    </w:p>
    <w:p>
      <w:pPr>
        <w:spacing w:line="360" w:lineRule="auto"/>
        <w:ind w:firstLine="480" w:firstLineChars="200"/>
        <w:rPr>
          <w:rFonts w:ascii="宋体" w:hAnsi="宋体"/>
          <w:sz w:val="24"/>
          <w:szCs w:val="24"/>
        </w:rPr>
      </w:pPr>
      <w:r>
        <w:rPr>
          <w:rFonts w:hint="eastAsia" w:ascii="宋体" w:hAnsi="宋体"/>
          <w:sz w:val="24"/>
          <w:szCs w:val="24"/>
        </w:rPr>
        <w:t>按照优化管理体制、健全安全制度、明确安全责任、规范安全管理、强化安全教育、构建安全文化、完善安全设施、提高应急能力的工作思路，努力推动学校实验室安全环保工作上层次、上水平。创新实验室安全监管制度，完善长效运行机制与保障体系。完善学校药品管理制度、危险化学品管理制度、化学废弃液（物）分类回收管理制度，完善入室人员安全与大型仪器使用培训体系，进一步完善实验室安全应急预案体系，健全实验室安全、环保等各项规章制度，全面推进实验室安全防控体系建设。</w:t>
      </w:r>
    </w:p>
    <w:p>
      <w:pPr>
        <w:spacing w:line="360" w:lineRule="auto"/>
        <w:ind w:firstLine="480" w:firstLineChars="200"/>
        <w:rPr>
          <w:rFonts w:ascii="宋体" w:hAnsi="宋体"/>
          <w:sz w:val="24"/>
          <w:szCs w:val="24"/>
        </w:rPr>
      </w:pPr>
      <w:r>
        <w:rPr>
          <w:rFonts w:hint="eastAsia" w:ascii="宋体" w:hAnsi="宋体"/>
          <w:sz w:val="24"/>
          <w:szCs w:val="24"/>
        </w:rPr>
        <w:t>（五）全面落实实验室考核评价制度，提高实验室管理水平</w:t>
      </w:r>
    </w:p>
    <w:p>
      <w:pPr>
        <w:spacing w:line="360" w:lineRule="auto"/>
        <w:ind w:firstLine="480" w:firstLineChars="200"/>
        <w:rPr>
          <w:rFonts w:ascii="宋体" w:hAnsi="宋体"/>
          <w:sz w:val="24"/>
          <w:szCs w:val="24"/>
        </w:rPr>
      </w:pPr>
      <w:r>
        <w:rPr>
          <w:rFonts w:hint="eastAsia" w:ascii="宋体" w:hAnsi="宋体"/>
          <w:sz w:val="24"/>
          <w:szCs w:val="24"/>
        </w:rPr>
        <w:t>根据学校绩效评价体系，将绩效管理理念引入到管理与服务过程中，全面落实实验室考核评价制度。一方面，完善实验室考核评价机制，不断提高实验室的利用率与开放率。另一方面，健全实验技术人员激励机制，激发实验技术人员参与实验教学的积极性、主动性和创造性，全面提升实验技术队伍的能力和水平。</w:t>
      </w:r>
    </w:p>
    <w:p>
      <w:pPr>
        <w:spacing w:line="360" w:lineRule="auto"/>
        <w:ind w:firstLine="482" w:firstLineChars="200"/>
        <w:rPr>
          <w:rFonts w:ascii="宋体" w:hAnsi="宋体"/>
          <w:b/>
          <w:sz w:val="24"/>
          <w:szCs w:val="24"/>
        </w:rPr>
      </w:pPr>
      <w:r>
        <w:rPr>
          <w:rFonts w:hint="eastAsia" w:ascii="宋体" w:hAnsi="宋体"/>
          <w:b/>
          <w:sz w:val="24"/>
          <w:szCs w:val="24"/>
        </w:rPr>
        <w:t>四、主要措施</w:t>
      </w:r>
    </w:p>
    <w:p>
      <w:pPr>
        <w:spacing w:line="360" w:lineRule="auto"/>
        <w:ind w:firstLine="480" w:firstLineChars="200"/>
        <w:rPr>
          <w:rFonts w:ascii="宋体" w:hAnsi="宋体"/>
          <w:sz w:val="24"/>
          <w:szCs w:val="24"/>
        </w:rPr>
      </w:pPr>
      <w:r>
        <w:rPr>
          <w:rFonts w:hint="eastAsia" w:ascii="宋体" w:hAnsi="宋体"/>
          <w:sz w:val="24"/>
          <w:szCs w:val="24"/>
        </w:rPr>
        <w:t>（一）进一步完善实验室建设与管理工作机制</w:t>
      </w:r>
    </w:p>
    <w:p>
      <w:pPr>
        <w:spacing w:line="360" w:lineRule="auto"/>
        <w:ind w:firstLine="480" w:firstLineChars="200"/>
        <w:rPr>
          <w:rFonts w:ascii="宋体" w:hAnsi="宋体"/>
          <w:sz w:val="24"/>
          <w:szCs w:val="24"/>
        </w:rPr>
      </w:pPr>
      <w:r>
        <w:rPr>
          <w:rFonts w:hint="eastAsia" w:ascii="宋体" w:hAnsi="宋体"/>
          <w:sz w:val="24"/>
          <w:szCs w:val="24"/>
        </w:rPr>
        <w:t>在实行校、院两级管理的基础上，完善实验室管理体制，进一步明确实验室各级管理部门、实验教学管理部门和负责实验室运行与管理的院（部）的职能与职责，完善有利于开放共享的实验室管理运行机制，形成机制合理、管理科学的教学实验室建设与管理运行模式，确保实验室的高度开放共享和高效运行。</w:t>
      </w:r>
    </w:p>
    <w:p>
      <w:pPr>
        <w:spacing w:line="360" w:lineRule="auto"/>
        <w:ind w:firstLine="480" w:firstLineChars="200"/>
        <w:rPr>
          <w:rFonts w:ascii="宋体" w:hAnsi="宋体"/>
          <w:sz w:val="24"/>
          <w:szCs w:val="24"/>
        </w:rPr>
      </w:pPr>
      <w:r>
        <w:rPr>
          <w:rFonts w:hint="eastAsia" w:ascii="宋体" w:hAnsi="宋体"/>
          <w:sz w:val="24"/>
          <w:szCs w:val="24"/>
        </w:rPr>
        <w:t>（二）加强实验室建设规划管理</w:t>
      </w:r>
    </w:p>
    <w:p>
      <w:pPr>
        <w:spacing w:line="360" w:lineRule="auto"/>
        <w:ind w:firstLine="480" w:firstLineChars="200"/>
        <w:rPr>
          <w:rFonts w:ascii="宋体" w:hAnsi="宋体"/>
          <w:sz w:val="24"/>
          <w:szCs w:val="24"/>
        </w:rPr>
      </w:pPr>
      <w:r>
        <w:rPr>
          <w:rFonts w:hint="eastAsia" w:ascii="宋体" w:hAnsi="宋体"/>
          <w:sz w:val="24"/>
          <w:szCs w:val="24"/>
        </w:rPr>
        <w:t>加强实验室建设规划，按先基础、再专业、后创新的建设思路提前规划实验室（平台）建设项目，切实做到规划与项目执行相符。完善实验室建设立项申报制度，采取项目责任制管理，落实项目申报、执行过程、以及项目目标跟踪考核机制。构建实验室建设项目管理信息化平台，使实验室项目管理进一步科学化、规范化。</w:t>
      </w:r>
    </w:p>
    <w:p>
      <w:pPr>
        <w:spacing w:line="360" w:lineRule="auto"/>
        <w:ind w:firstLine="480" w:firstLineChars="200"/>
        <w:rPr>
          <w:rFonts w:ascii="宋体" w:hAnsi="宋体"/>
          <w:sz w:val="24"/>
          <w:szCs w:val="24"/>
        </w:rPr>
      </w:pPr>
      <w:r>
        <w:rPr>
          <w:rFonts w:hint="eastAsia" w:ascii="宋体" w:hAnsi="宋体"/>
          <w:sz w:val="24"/>
          <w:szCs w:val="24"/>
        </w:rPr>
        <w:t>（三）完善实验室绩效评价与激励机制</w:t>
      </w:r>
    </w:p>
    <w:p>
      <w:pPr>
        <w:spacing w:line="360" w:lineRule="auto"/>
        <w:ind w:firstLine="480" w:firstLineChars="200"/>
        <w:rPr>
          <w:rFonts w:ascii="宋体" w:hAnsi="宋体"/>
          <w:sz w:val="24"/>
          <w:szCs w:val="24"/>
        </w:rPr>
      </w:pPr>
      <w:r>
        <w:rPr>
          <w:rFonts w:hint="eastAsia" w:ascii="宋体" w:hAnsi="宋体"/>
          <w:sz w:val="24"/>
          <w:szCs w:val="24"/>
        </w:rPr>
        <w:t>完善实验室信息化综合管理系统，完善实验室绩效评价制度，主要包括实验室管理与运行、仪器设备利用率、实验室开放率、实验室经费使用、实验室环境安全管理等。完善以绩效分配为导向的激励机制。加大实验室开放共享和资源高效利用的激励力度，通过优化实验室管理和实验教学岗位设置及分配办法，稳定实验技术队伍，提高实验室建设、管理和实验教学水平。</w:t>
      </w:r>
    </w:p>
    <w:p>
      <w:pPr>
        <w:spacing w:line="360" w:lineRule="auto"/>
        <w:ind w:firstLine="480" w:firstLineChars="200"/>
        <w:rPr>
          <w:rFonts w:ascii="宋体" w:hAnsi="宋体"/>
          <w:sz w:val="24"/>
          <w:szCs w:val="24"/>
        </w:rPr>
      </w:pPr>
      <w:r>
        <w:rPr>
          <w:rFonts w:hint="eastAsia" w:ascii="宋体" w:hAnsi="宋体"/>
          <w:sz w:val="24"/>
          <w:szCs w:val="24"/>
        </w:rPr>
        <w:t>（四）完善实验技术队伍考核评价制度</w:t>
      </w:r>
    </w:p>
    <w:p>
      <w:pPr>
        <w:spacing w:line="360" w:lineRule="auto"/>
        <w:ind w:firstLine="480" w:firstLineChars="200"/>
        <w:rPr>
          <w:rFonts w:ascii="宋体" w:hAnsi="宋体"/>
          <w:sz w:val="24"/>
          <w:szCs w:val="24"/>
        </w:rPr>
      </w:pPr>
      <w:r>
        <w:rPr>
          <w:rFonts w:hint="eastAsia" w:ascii="宋体" w:hAnsi="宋体"/>
          <w:sz w:val="24"/>
          <w:szCs w:val="24"/>
        </w:rPr>
        <w:t>强化实验教学地位，提高对实验教学在应用型人才培养过程中的作用和优势的认识。进一步完善实验技术人员队伍管理体制，加强实验室管理队伍建设，科学地设置实验技术人员岗位与职责，大力开展业务培训和业务交流。创新激励机制，制订实验技术人员考核办法，探索实验技术人员考核体系。进一步改善实验技术人员的工作条件和生活待遇，拓展其事业发展空间，为应用型人才培养提供有力保障。</w:t>
      </w:r>
    </w:p>
    <w:p>
      <w:pPr>
        <w:spacing w:line="360" w:lineRule="auto"/>
        <w:ind w:firstLine="480" w:firstLineChars="200"/>
        <w:rPr>
          <w:rFonts w:ascii="宋体" w:hAnsi="宋体"/>
          <w:sz w:val="24"/>
          <w:szCs w:val="24"/>
        </w:rPr>
      </w:pPr>
    </w:p>
    <w:p>
      <w:pPr>
        <w:jc w:val="right"/>
        <w:rPr>
          <w:rFonts w:ascii="宋体" w:hAnsi="宋体"/>
          <w:b/>
          <w:sz w:val="24"/>
          <w:szCs w:val="24"/>
        </w:rPr>
      </w:pPr>
      <w:r>
        <w:rPr>
          <w:rFonts w:hint="eastAsia" w:ascii="宋体" w:hAnsi="宋体"/>
          <w:b/>
          <w:sz w:val="24"/>
          <w:szCs w:val="24"/>
        </w:rPr>
        <w:t>二〇一六年六月十四日</w:t>
      </w:r>
    </w:p>
    <w:p>
      <w:pPr>
        <w:spacing w:line="360" w:lineRule="auto"/>
        <w:ind w:firstLine="480" w:firstLineChars="200"/>
        <w:rPr>
          <w:rFonts w:ascii="宋体" w:hAnsi="宋体"/>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ind w:firstLine="643" w:firstLineChars="200"/>
        <w:jc w:val="center"/>
        <w:rPr>
          <w:rFonts w:ascii="宋体" w:hAnsi="宋体"/>
          <w:b/>
          <w:sz w:val="32"/>
          <w:szCs w:val="32"/>
        </w:rPr>
      </w:pPr>
      <w:r>
        <w:rPr>
          <w:rFonts w:hint="eastAsia" w:ascii="宋体" w:hAnsi="宋体"/>
          <w:b/>
          <w:sz w:val="32"/>
          <w:szCs w:val="32"/>
        </w:rPr>
        <w:t>内江师范学院</w:t>
      </w:r>
    </w:p>
    <w:p>
      <w:pPr>
        <w:widowControl/>
        <w:spacing w:line="560" w:lineRule="exact"/>
        <w:ind w:firstLine="643" w:firstLineChars="200"/>
        <w:jc w:val="center"/>
        <w:rPr>
          <w:rFonts w:ascii="宋体" w:hAnsi="宋体"/>
          <w:b/>
          <w:sz w:val="32"/>
          <w:szCs w:val="32"/>
        </w:rPr>
      </w:pPr>
      <w:r>
        <w:rPr>
          <w:rFonts w:hint="eastAsia" w:ascii="宋体" w:hAnsi="宋体"/>
          <w:b/>
          <w:sz w:val="32"/>
          <w:szCs w:val="32"/>
        </w:rPr>
        <w:t>关于进一步提高人才培养质量的实施意见</w:t>
      </w:r>
    </w:p>
    <w:p>
      <w:pPr>
        <w:widowControl/>
        <w:spacing w:line="560" w:lineRule="exact"/>
        <w:ind w:firstLine="562" w:firstLineChars="200"/>
        <w:jc w:val="center"/>
        <w:rPr>
          <w:rFonts w:ascii="宋体" w:hAnsi="宋体" w:cs="宋体"/>
          <w:b/>
          <w:kern w:val="0"/>
          <w:sz w:val="28"/>
          <w:szCs w:val="28"/>
        </w:rPr>
      </w:pPr>
      <w:r>
        <w:rPr>
          <w:rFonts w:hint="eastAsia" w:ascii="宋体" w:hAnsi="宋体" w:cs="宋体"/>
          <w:b/>
          <w:kern w:val="0"/>
          <w:sz w:val="28"/>
          <w:szCs w:val="28"/>
        </w:rPr>
        <w:t>内师院发〔2013〕11 号</w:t>
      </w:r>
    </w:p>
    <w:p>
      <w:pPr>
        <w:widowControl/>
        <w:spacing w:line="360" w:lineRule="auto"/>
        <w:ind w:firstLine="562" w:firstLineChars="200"/>
        <w:jc w:val="center"/>
        <w:rPr>
          <w:rFonts w:ascii="宋体" w:hAnsi="宋体" w:cs="宋体"/>
          <w:b/>
          <w:kern w:val="0"/>
          <w:sz w:val="28"/>
          <w:szCs w:val="28"/>
        </w:rPr>
      </w:pPr>
    </w:p>
    <w:p>
      <w:pPr>
        <w:widowControl/>
        <w:spacing w:line="360" w:lineRule="auto"/>
        <w:ind w:firstLine="480" w:firstLineChars="200"/>
        <w:jc w:val="left"/>
        <w:rPr>
          <w:rFonts w:ascii="宋体" w:hAnsi="宋体"/>
          <w:sz w:val="24"/>
        </w:rPr>
      </w:pPr>
      <w:r>
        <w:rPr>
          <w:rFonts w:hint="eastAsia" w:ascii="宋体" w:hAnsi="宋体" w:cs="宋体"/>
          <w:kern w:val="0"/>
          <w:sz w:val="24"/>
        </w:rPr>
        <w:t>为全面贯彻落实《国家中长期教育改革和发展规划纲要》，适应经济社会发</w:t>
      </w:r>
      <w:r>
        <w:rPr>
          <w:rFonts w:hint="eastAsia" w:ascii="宋体" w:hAnsi="宋体" w:cs="宋体"/>
          <w:color w:val="000000"/>
          <w:kern w:val="0"/>
          <w:sz w:val="24"/>
        </w:rPr>
        <w:t>展需要，根据《教育部关于全面提高高等教育质量的若干意见》和</w:t>
      </w:r>
      <w:r>
        <w:rPr>
          <w:rFonts w:hint="eastAsia" w:ascii="宋体" w:hAnsi="宋体" w:cs="宋体"/>
          <w:kern w:val="0"/>
          <w:sz w:val="24"/>
        </w:rPr>
        <w:t>《教育部关于普通高等学校本科教学评估工作的意见》</w:t>
      </w:r>
      <w:r>
        <w:rPr>
          <w:rFonts w:hint="eastAsia" w:ascii="宋体" w:hAnsi="宋体" w:cs="宋体"/>
          <w:color w:val="000000"/>
          <w:kern w:val="0"/>
          <w:sz w:val="24"/>
        </w:rPr>
        <w:t>，结合学校实际，对进一步提高人才培养质量，提出以下实施意见。</w:t>
      </w:r>
    </w:p>
    <w:p>
      <w:pPr>
        <w:widowControl/>
        <w:spacing w:line="360" w:lineRule="auto"/>
        <w:ind w:firstLine="482" w:firstLineChars="200"/>
        <w:jc w:val="left"/>
        <w:rPr>
          <w:rFonts w:ascii="宋体" w:hAnsi="宋体" w:cs="宋体"/>
          <w:b/>
          <w:color w:val="FF0000"/>
          <w:kern w:val="0"/>
          <w:sz w:val="24"/>
        </w:rPr>
      </w:pPr>
      <w:r>
        <w:rPr>
          <w:rFonts w:hint="eastAsia" w:ascii="宋体" w:hAnsi="宋体"/>
          <w:b/>
          <w:sz w:val="24"/>
        </w:rPr>
        <w:t>一、强化教学中心地位，建立科学发展机制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kern w:val="0"/>
          <w:sz w:val="24"/>
        </w:rPr>
        <w:t>提高教学工作中心地位的认识。人才培养是高等学校的根本任务，教学工作是高等学校的中心工作。领导精力、顶层设计、管理制度、资源配置、经费安排和工作评价等都应体现以教学为中心，把提高教学质量</w:t>
      </w:r>
      <w:r>
        <w:rPr>
          <w:rFonts w:hint="eastAsia" w:ascii="宋体" w:hAnsi="宋体" w:cs="宋体"/>
          <w:color w:val="000000"/>
          <w:kern w:val="0"/>
          <w:sz w:val="24"/>
        </w:rPr>
        <w:t>落到实处。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树立科学的质量观。全面贯彻党的教育方针，坚持育人为本、德育为先、能力为重、全面发展，把促进学生成长成才和适应社会需要作为衡量人才培养水平的根本标准。坚持知识、能力和素质协调发展，努力提高学生的终</w:t>
      </w:r>
      <w:r>
        <w:rPr>
          <w:rFonts w:hint="eastAsia" w:ascii="宋体" w:hAnsi="宋体" w:cs="宋体"/>
          <w:kern w:val="0"/>
          <w:sz w:val="24"/>
        </w:rPr>
        <w:t>身</w:t>
      </w:r>
      <w:r>
        <w:rPr>
          <w:rFonts w:hint="eastAsia" w:ascii="宋体" w:hAnsi="宋体" w:cs="宋体"/>
          <w:color w:val="000000"/>
          <w:kern w:val="0"/>
          <w:sz w:val="24"/>
        </w:rPr>
        <w:t>学习能力、实践创新能力、社会适应能力，培养适应基础教育的高素质教师和适应地方经济社会发展需要的应用型、复合型、技能型专门人才。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3.积极探索人才培养类型的改革。做精做优做特教师教育专业，找准与地方经济社会发展的结合点，大力发展与相关产业密切联系的应用型专业，积极探索办学类型的转型。保持专业数量基本稳定，</w:t>
      </w:r>
      <w:r>
        <w:rPr>
          <w:rFonts w:hint="eastAsia" w:ascii="宋体" w:hAnsi="宋体" w:cs="宋体"/>
          <w:kern w:val="0"/>
          <w:sz w:val="24"/>
        </w:rPr>
        <w:t>加强特色建设，</w:t>
      </w:r>
      <w:r>
        <w:rPr>
          <w:rFonts w:hint="eastAsia" w:ascii="宋体" w:hAnsi="宋体" w:cs="宋体"/>
          <w:color w:val="000000"/>
          <w:kern w:val="0"/>
          <w:sz w:val="24"/>
        </w:rPr>
        <w:t>逐步建立专</w:t>
      </w:r>
      <w:r>
        <w:rPr>
          <w:rFonts w:hint="eastAsia" w:ascii="宋体" w:hAnsi="宋体" w:cs="宋体"/>
          <w:kern w:val="0"/>
          <w:sz w:val="24"/>
        </w:rPr>
        <w:t>业评估与淘汰机制</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4.落实领导干部听课制度。各级领导深入课堂，了解教师教学和学生学习状况，并将听课情况纳入目标考核。</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5.坚持教学工作会议制度。定期召开全校教学工作会议，校长办公会每学期至少召开</w:t>
      </w:r>
      <w:r>
        <w:rPr>
          <w:rFonts w:hint="eastAsia" w:ascii="宋体" w:hAnsi="宋体" w:cs="宋体"/>
          <w:kern w:val="0"/>
          <w:sz w:val="24"/>
        </w:rPr>
        <w:t>一次</w:t>
      </w:r>
      <w:r>
        <w:rPr>
          <w:rFonts w:hint="eastAsia" w:ascii="宋体" w:hAnsi="宋体" w:cs="宋体"/>
          <w:color w:val="000000"/>
          <w:kern w:val="0"/>
          <w:sz w:val="24"/>
        </w:rPr>
        <w:t>教学工作专题会议，各</w:t>
      </w:r>
      <w:r>
        <w:rPr>
          <w:rFonts w:hint="eastAsia" w:ascii="宋体" w:hAnsi="宋体" w:cs="宋体"/>
          <w:kern w:val="0"/>
          <w:sz w:val="24"/>
        </w:rPr>
        <w:t>教学单位</w:t>
      </w:r>
      <w:r>
        <w:rPr>
          <w:rFonts w:hint="eastAsia" w:ascii="宋体" w:hAnsi="宋体" w:cs="宋体"/>
          <w:color w:val="000000"/>
          <w:kern w:val="0"/>
          <w:sz w:val="24"/>
        </w:rPr>
        <w:t>每学期至少召开</w:t>
      </w:r>
      <w:r>
        <w:rPr>
          <w:rFonts w:hint="eastAsia" w:ascii="宋体" w:hAnsi="宋体" w:cs="宋体"/>
          <w:kern w:val="0"/>
          <w:sz w:val="24"/>
        </w:rPr>
        <w:t>两次本单位</w:t>
      </w:r>
      <w:r>
        <w:rPr>
          <w:rFonts w:hint="eastAsia" w:ascii="宋体" w:hAnsi="宋体" w:cs="宋体"/>
          <w:color w:val="000000"/>
          <w:kern w:val="0"/>
          <w:sz w:val="24"/>
        </w:rPr>
        <w:t>教学工作专题会议，</w:t>
      </w:r>
      <w:r>
        <w:rPr>
          <w:rFonts w:hint="eastAsia" w:ascii="宋体" w:hAnsi="宋体" w:cs="宋体"/>
          <w:kern w:val="0"/>
          <w:sz w:val="24"/>
        </w:rPr>
        <w:t>专门</w:t>
      </w:r>
      <w:r>
        <w:rPr>
          <w:rFonts w:hint="eastAsia" w:ascii="宋体" w:hAnsi="宋体" w:cs="宋体"/>
          <w:color w:val="000000"/>
          <w:kern w:val="0"/>
          <w:sz w:val="24"/>
        </w:rPr>
        <w:t>研究解决教学工作中的新情况、新问题，提出改进教学工作的新思路、新举措。</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6.加大教学经费投入。四项教学经费应达到学校学费收入的30%以上。保障专业建设、教学条件建</w:t>
      </w:r>
      <w:r>
        <w:rPr>
          <w:rFonts w:hint="eastAsia" w:ascii="宋体" w:hAnsi="宋体" w:cs="宋体"/>
          <w:kern w:val="0"/>
          <w:sz w:val="24"/>
        </w:rPr>
        <w:t>设、教学改革与研究、学生创新创业训练等各类专项建设的顺利开展</w:t>
      </w:r>
      <w:r>
        <w:rPr>
          <w:rFonts w:hint="eastAsia" w:ascii="宋体" w:hAnsi="宋体" w:cs="宋体"/>
          <w:color w:val="000000"/>
          <w:kern w:val="0"/>
          <w:sz w:val="24"/>
        </w:rPr>
        <w:t>。</w:t>
      </w:r>
    </w:p>
    <w:p>
      <w:pPr>
        <w:spacing w:line="360" w:lineRule="auto"/>
        <w:ind w:firstLine="482" w:firstLineChars="200"/>
        <w:rPr>
          <w:rFonts w:ascii="宋体" w:hAnsi="宋体"/>
          <w:b/>
          <w:sz w:val="24"/>
        </w:rPr>
      </w:pPr>
      <w:r>
        <w:rPr>
          <w:rFonts w:hint="eastAsia" w:ascii="宋体" w:hAnsi="宋体"/>
          <w:b/>
          <w:sz w:val="24"/>
        </w:rPr>
        <w:t>二、改善教学条件，提供基础保障</w:t>
      </w:r>
    </w:p>
    <w:p>
      <w:pPr>
        <w:spacing w:line="360" w:lineRule="auto"/>
        <w:ind w:firstLine="480" w:firstLineChars="200"/>
        <w:rPr>
          <w:rFonts w:ascii="宋体" w:hAnsi="宋体" w:cs="宋体"/>
          <w:kern w:val="0"/>
          <w:sz w:val="24"/>
        </w:rPr>
      </w:pPr>
      <w:r>
        <w:rPr>
          <w:rFonts w:hint="eastAsia" w:ascii="宋体" w:hAnsi="宋体"/>
          <w:sz w:val="24"/>
        </w:rPr>
        <w:t>7.</w:t>
      </w:r>
      <w:r>
        <w:rPr>
          <w:rFonts w:hint="eastAsia" w:ascii="宋体" w:hAnsi="宋体" w:cs="宋体"/>
          <w:kern w:val="0"/>
          <w:sz w:val="24"/>
        </w:rPr>
        <w:t>加强教室建设。积极改善教学环境，加强教学楼的文化建设和教室功能建设，为深化教学改革提供条件保障。增加教室数量，使各类教室座位总数不低于全日制在校生数的1.5倍，为开展教学模式改革、促进学生自主学习创造良好条件。</w:t>
      </w:r>
    </w:p>
    <w:p>
      <w:pPr>
        <w:spacing w:line="360" w:lineRule="auto"/>
        <w:ind w:firstLine="480" w:firstLineChars="200"/>
        <w:rPr>
          <w:rFonts w:ascii="宋体" w:hAnsi="宋体" w:cs="宋体"/>
          <w:kern w:val="0"/>
          <w:sz w:val="24"/>
        </w:rPr>
      </w:pPr>
      <w:r>
        <w:rPr>
          <w:rFonts w:hint="eastAsia" w:ascii="宋体" w:hAnsi="宋体" w:cs="宋体"/>
          <w:kern w:val="0"/>
          <w:sz w:val="24"/>
        </w:rPr>
        <w:t>8.加强教学实验室规划与建设。完善教学实验室建设规划和布局，不断改善实验教学条件。推进实验教学示范中心建设，打造和完善校级实验教学平台，进一步整合实验室资源，探索校企共建实验室新路子。加大实验室开放力度，提高实验设备的共享程度和使用效率。加强实验室对创新创业训练、学科竞赛、科技实践等活动的支持力度。加强实验室和实验室管理信息化建设。</w:t>
      </w:r>
    </w:p>
    <w:p>
      <w:pPr>
        <w:spacing w:line="360" w:lineRule="auto"/>
        <w:ind w:firstLine="480" w:firstLineChars="200"/>
        <w:rPr>
          <w:rFonts w:ascii="宋体" w:hAnsi="宋体" w:cs="宋体"/>
          <w:kern w:val="0"/>
          <w:sz w:val="24"/>
        </w:rPr>
      </w:pPr>
      <w:r>
        <w:rPr>
          <w:rFonts w:hint="eastAsia" w:ascii="宋体" w:hAnsi="宋体" w:cs="宋体"/>
          <w:kern w:val="0"/>
          <w:sz w:val="24"/>
        </w:rPr>
        <w:t>9.加强实践教学基地建设。加大经费投入，加强实习基地特别是非师范专业实习基地建设。本着互利互惠、保证质量的原则，与行业和企事业单位共同建设一批专业覆盖面广、实践教学条件好、长期稳定的实践教学基地。各非师范专业应有足量的实质性校外实践基地。</w:t>
      </w:r>
    </w:p>
    <w:p>
      <w:pPr>
        <w:spacing w:line="360" w:lineRule="auto"/>
        <w:ind w:firstLine="482" w:firstLineChars="200"/>
        <w:rPr>
          <w:rFonts w:ascii="宋体" w:hAnsi="宋体"/>
          <w:b/>
          <w:sz w:val="24"/>
        </w:rPr>
      </w:pPr>
      <w:r>
        <w:rPr>
          <w:rFonts w:hint="eastAsia" w:ascii="宋体" w:hAnsi="宋体" w:cs="宋体"/>
          <w:b/>
          <w:bCs/>
          <w:color w:val="000000"/>
          <w:kern w:val="0"/>
          <w:sz w:val="24"/>
        </w:rPr>
        <w:t>三、</w:t>
      </w:r>
      <w:r>
        <w:rPr>
          <w:rFonts w:hint="eastAsia" w:ascii="宋体" w:hAnsi="宋体"/>
          <w:b/>
          <w:sz w:val="24"/>
        </w:rPr>
        <w:t>加强师资队伍建设，提高教师教学水平</w:t>
      </w:r>
    </w:p>
    <w:p>
      <w:pPr>
        <w:spacing w:line="360" w:lineRule="auto"/>
        <w:ind w:firstLine="480" w:firstLineChars="200"/>
        <w:rPr>
          <w:rFonts w:ascii="宋体" w:hAnsi="宋体"/>
          <w:sz w:val="24"/>
        </w:rPr>
      </w:pPr>
      <w:r>
        <w:rPr>
          <w:rFonts w:hint="eastAsia" w:ascii="宋体" w:hAnsi="宋体"/>
          <w:sz w:val="24"/>
        </w:rPr>
        <w:t>10.配足配强任课教师，确保教育教学质量。人事处积极配合二级学院，加强师资队伍建设，调配教师资源，确保任课教师的数量和质量。聘任中小学和幼儿园名师为兼职教师，占教师教育类课程教师的比例不少于20%。</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11.完善助教制度，</w:t>
      </w:r>
      <w:r>
        <w:rPr>
          <w:rFonts w:hint="eastAsia" w:ascii="宋体" w:hAnsi="宋体" w:cs="宋体"/>
          <w:kern w:val="0"/>
          <w:sz w:val="24"/>
        </w:rPr>
        <w:t>落实指导教师。</w:t>
      </w:r>
      <w:r>
        <w:rPr>
          <w:rFonts w:hint="eastAsia" w:ascii="宋体" w:hAnsi="宋体" w:cs="宋体"/>
          <w:color w:val="000000"/>
          <w:kern w:val="0"/>
          <w:sz w:val="24"/>
        </w:rPr>
        <w:t>应届毕业生或没有高等学校任教经历的新进教师，</w:t>
      </w:r>
      <w:r>
        <w:rPr>
          <w:rFonts w:hint="eastAsia" w:ascii="宋体" w:hAnsi="宋体" w:cs="宋体"/>
          <w:kern w:val="0"/>
          <w:sz w:val="24"/>
        </w:rPr>
        <w:t>均须担任相应课程不少于一学年的助教工作，</w:t>
      </w:r>
      <w:r>
        <w:rPr>
          <w:rFonts w:hint="eastAsia" w:ascii="宋体" w:hAnsi="宋体" w:cs="宋体"/>
          <w:color w:val="000000"/>
          <w:kern w:val="0"/>
          <w:sz w:val="24"/>
        </w:rPr>
        <w:t>助教工作合格者方可独立承担教学任务。各二级学院应为新进教师配备导师，明确导师的指导工作量。</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12.建立激励机制，提高教师教学积极性。开展各种教学竞赛活动，</w:t>
      </w:r>
      <w:r>
        <w:rPr>
          <w:rFonts w:hint="eastAsia" w:ascii="宋体" w:hAnsi="宋体" w:cs="宋体"/>
          <w:kern w:val="0"/>
          <w:sz w:val="24"/>
        </w:rPr>
        <w:t>鼓励和支持</w:t>
      </w:r>
      <w:r>
        <w:rPr>
          <w:rFonts w:hint="eastAsia" w:ascii="宋体" w:hAnsi="宋体" w:cs="宋体"/>
          <w:color w:val="000000"/>
          <w:kern w:val="0"/>
          <w:sz w:val="24"/>
        </w:rPr>
        <w:t>“示范课”活动，提高教师对教学工作的认同感和荣誉感。继续</w:t>
      </w:r>
      <w:r>
        <w:rPr>
          <w:rFonts w:hint="eastAsia" w:ascii="宋体" w:hAnsi="宋体" w:cs="宋体"/>
          <w:kern w:val="0"/>
          <w:sz w:val="24"/>
        </w:rPr>
        <w:t>开展“优秀教师”评选活动</w:t>
      </w:r>
      <w:r>
        <w:rPr>
          <w:rFonts w:hint="eastAsia" w:ascii="宋体" w:hAnsi="宋体" w:cs="宋体"/>
          <w:color w:val="000000"/>
          <w:kern w:val="0"/>
          <w:sz w:val="24"/>
        </w:rPr>
        <w:t>，加大对教学效果好、教学业绩突出的教师的奖励力度，并与绩效考核、津贴分配挂钩。</w:t>
      </w:r>
    </w:p>
    <w:p>
      <w:pPr>
        <w:widowControl/>
        <w:adjustRightInd w:val="0"/>
        <w:spacing w:line="360" w:lineRule="auto"/>
        <w:ind w:firstLine="480" w:firstLineChars="200"/>
        <w:jc w:val="left"/>
        <w:rPr>
          <w:rFonts w:ascii="宋体" w:hAnsi="宋体" w:cs="宋体"/>
          <w:kern w:val="0"/>
          <w:sz w:val="24"/>
        </w:rPr>
      </w:pPr>
      <w:r>
        <w:rPr>
          <w:rFonts w:hint="eastAsia" w:ascii="宋体" w:hAnsi="宋体" w:cs="宋体"/>
          <w:color w:val="000000"/>
          <w:kern w:val="0"/>
          <w:sz w:val="24"/>
        </w:rPr>
        <w:t>13.探索教师分类管理，实行分类评价。明确不同类型教师的岗位职责、任职条件及聘用、考核、晋升办法。</w:t>
      </w:r>
      <w:r>
        <w:rPr>
          <w:rFonts w:hint="eastAsia" w:ascii="宋体" w:hAnsi="宋体" w:cs="宋体"/>
          <w:kern w:val="0"/>
          <w:sz w:val="24"/>
        </w:rPr>
        <w:t>探索</w:t>
      </w:r>
      <w:r>
        <w:rPr>
          <w:rFonts w:hint="eastAsia" w:ascii="宋体" w:hAnsi="宋体" w:cs="宋体"/>
          <w:color w:val="000000"/>
          <w:kern w:val="0"/>
          <w:sz w:val="24"/>
        </w:rPr>
        <w:t>教学型教授、教学型副教授、实验型教授评聘工作。</w:t>
      </w:r>
      <w:r>
        <w:rPr>
          <w:rFonts w:hint="eastAsia" w:ascii="宋体" w:hAnsi="宋体" w:cs="宋体"/>
          <w:kern w:val="0"/>
          <w:sz w:val="24"/>
        </w:rPr>
        <w:t xml:space="preserve">对实验室教师队伍定岗定编定责，探索实验室人员与教师的等效评价制度，提高实验人员的积极性和实验室的管理效率。 </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14.搭建平台，</w:t>
      </w:r>
      <w:r>
        <w:rPr>
          <w:rFonts w:hint="eastAsia" w:ascii="宋体" w:hAnsi="宋体" w:cs="宋体"/>
          <w:kern w:val="0"/>
          <w:sz w:val="24"/>
        </w:rPr>
        <w:t>提升教师教学能力</w:t>
      </w:r>
      <w:r>
        <w:rPr>
          <w:rFonts w:hint="eastAsia" w:ascii="宋体" w:hAnsi="宋体" w:cs="宋体"/>
          <w:color w:val="000000"/>
          <w:kern w:val="0"/>
          <w:sz w:val="24"/>
        </w:rPr>
        <w:t>。充分发挥校、院两级教师教学发展中心的职能，构建立体化的教学培训和教学研讨平台，围绕教师教学</w:t>
      </w:r>
      <w:r>
        <w:rPr>
          <w:rFonts w:hint="eastAsia" w:ascii="宋体" w:hAnsi="宋体" w:cs="宋体"/>
          <w:kern w:val="0"/>
          <w:sz w:val="24"/>
        </w:rPr>
        <w:t>发展，</w:t>
      </w:r>
      <w:r>
        <w:rPr>
          <w:rFonts w:hint="eastAsia" w:ascii="宋体" w:hAnsi="宋体" w:cs="宋体"/>
          <w:color w:val="000000"/>
          <w:kern w:val="0"/>
          <w:sz w:val="24"/>
        </w:rPr>
        <w:t>开展教师培训、教学改革与研究等工作。</w:t>
      </w:r>
      <w:r>
        <w:rPr>
          <w:rFonts w:hint="eastAsia" w:ascii="宋体" w:hAnsi="宋体" w:cs="宋体"/>
          <w:kern w:val="0"/>
          <w:sz w:val="24"/>
        </w:rPr>
        <w:t>教师教育专业的中青年教师，应到中小学、幼儿园从事至少1年的教学工作。</w:t>
      </w:r>
      <w:r>
        <w:rPr>
          <w:rFonts w:hint="eastAsia" w:ascii="宋体" w:hAnsi="宋体" w:cs="宋体"/>
          <w:color w:val="000000"/>
          <w:kern w:val="0"/>
          <w:sz w:val="24"/>
        </w:rPr>
        <w:t>加大“双师型”教师培养</w:t>
      </w:r>
      <w:r>
        <w:rPr>
          <w:rFonts w:hint="eastAsia" w:ascii="宋体" w:hAnsi="宋体" w:cs="宋体"/>
          <w:kern w:val="0"/>
          <w:sz w:val="24"/>
        </w:rPr>
        <w:t>和支持</w:t>
      </w:r>
      <w:r>
        <w:rPr>
          <w:rFonts w:hint="eastAsia" w:ascii="宋体" w:hAnsi="宋体" w:cs="宋体"/>
          <w:color w:val="000000"/>
          <w:kern w:val="0"/>
          <w:sz w:val="24"/>
        </w:rPr>
        <w:t>力度，</w:t>
      </w:r>
      <w:r>
        <w:rPr>
          <w:rFonts w:hint="eastAsia" w:ascii="宋体" w:hAnsi="宋体" w:cs="宋体"/>
          <w:kern w:val="0"/>
          <w:sz w:val="24"/>
        </w:rPr>
        <w:t>非师范专业教师应有在企事业单位不少于半年的实践锻炼经历。实践锻炼经历作为职称晋升的必要条件。</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四、坚持内涵发展，推进教学改革</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15.</w:t>
      </w:r>
      <w:r>
        <w:rPr>
          <w:rFonts w:hint="eastAsia" w:ascii="宋体" w:hAnsi="宋体" w:cs="宋体"/>
          <w:kern w:val="0"/>
          <w:sz w:val="24"/>
        </w:rPr>
        <w:t>改革招生模式。积极探索分类招生、分流分层培养模式，逐步实现从按专业招生向按学科大类招生的转变。</w:t>
      </w:r>
      <w:r>
        <w:rPr>
          <w:rFonts w:hint="eastAsia" w:ascii="宋体" w:hAnsi="宋体" w:cs="宋体"/>
          <w:color w:val="000000"/>
          <w:kern w:val="0"/>
          <w:sz w:val="24"/>
        </w:rPr>
        <w:t>在尊重学生志愿的基础上，实施专业的分流和专业发展方向的分流分层。加大对传统专业的提升与改造力度，使之更加适应经济社会发展的需要；对适应性差、人才培养质量不高的专业实行减招或停招，增强学生的专业满意度，提高专业培养目标与社会需求的符合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kern w:val="0"/>
          <w:sz w:val="24"/>
        </w:rPr>
        <w:t>深化人才培养模式改革。</w:t>
      </w:r>
      <w:r>
        <w:rPr>
          <w:rFonts w:hint="eastAsia" w:ascii="宋体" w:hAnsi="宋体"/>
          <w:sz w:val="24"/>
        </w:rPr>
        <w:t>推进“以发展为中心，教学做统一”的育人模式改革，在逐步完善“一条主线、两个延伸、三个平台”的操作模式基础上，</w:t>
      </w:r>
      <w:r>
        <w:rPr>
          <w:rFonts w:hint="eastAsia" w:ascii="宋体" w:hAnsi="宋体" w:cs="宋体"/>
          <w:color w:val="000000"/>
          <w:kern w:val="0"/>
          <w:sz w:val="24"/>
        </w:rPr>
        <w:t>着重改革课程体系、评价体系和管理方式，大力推进校园文化建设，探索全员育人、全过程育人、全方位育人的综合育人体系。提高专业发展选修课的学分比例，使专业发展选修课的学分不低于专业总学分的15%。建立有利于学生全面发展、个性发展的评价体系。推行小班教学、学业导师制和主辅修制，强化因材施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加强专业建设。落实专业负责人制度，保障专业负责人对专业的定位、建设、发展等方面的相关权利。加大专业建设投入，支持专业尤其是新办专业不断优化人才培养方案，改善办学条件，提高专业建设整体水平。继续深入推进专业综合改革，大力培育优势突出、特色鲜明的专业，形成专业品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18.加强课程建设。以课程建设为抓手，带动教学团队、教学名师、精品课程、优秀教材的建设。各专业遴选出5门左右核心课程进行重点建设</w:t>
      </w:r>
      <w:r>
        <w:rPr>
          <w:rFonts w:hint="eastAsia" w:ascii="宋体" w:hAnsi="宋体" w:cs="宋体"/>
          <w:kern w:val="0"/>
          <w:sz w:val="24"/>
        </w:rPr>
        <w:t>，建立核心课程负责人制度</w:t>
      </w:r>
      <w:r>
        <w:rPr>
          <w:rFonts w:hint="eastAsia" w:ascii="宋体" w:hAnsi="宋体" w:cs="宋体"/>
          <w:color w:val="000000"/>
          <w:kern w:val="0"/>
          <w:sz w:val="24"/>
        </w:rPr>
        <w:t>。大力加强优质通识选修课、教师教育类课程的建设，逐步形成一批高水平的教学团队，培育一批教学名师、教学能手。</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推进教学改革与研究。加大教学改革专项资助力度，鼓励教师深入开展教育教学改革。加强教改项目的规划管理，引导学校教学改革方向；以教学单位为主体，组织、实施教改研究与实践，更加注重教学改革的实效。加大教改成果的推广和转化力度，逐步形成一批标志性成果。</w:t>
      </w:r>
    </w:p>
    <w:p>
      <w:pPr>
        <w:spacing w:line="360" w:lineRule="auto"/>
        <w:ind w:firstLine="480" w:firstLineChars="200"/>
        <w:rPr>
          <w:rFonts w:ascii="宋体" w:hAnsi="宋体"/>
          <w:sz w:val="24"/>
        </w:rPr>
      </w:pPr>
      <w:r>
        <w:rPr>
          <w:rFonts w:hint="eastAsia" w:ascii="宋体" w:hAnsi="宋体" w:cs="宋体"/>
          <w:color w:val="000000"/>
          <w:kern w:val="0"/>
          <w:sz w:val="24"/>
        </w:rPr>
        <w:t>20.强化实践育人。增加实践教学比重，确保实践教学环节学分在人文社会科学类本科专业不少于总学分的15%、理工农类本科专业不少于25%，各专业的专业实践不少于1个学期。分类制定实践教学标准，以培养学生实践能力和创新能力为核心，完善以基础实践教学、专业实践教学、综合实践教学、创新实践教学四层次有机结合并辅之以“第二课堂”的实践教学体系。通过学生科研、学科竞赛、创新创业训练等活动，让学生早进课题、早进实验室、早进团队。落实毕业论文（设计）各环节的要求和质量标准，严格控制指导人数，提高毕业论文（设计）质量。</w:t>
      </w:r>
    </w:p>
    <w:p>
      <w:pPr>
        <w:spacing w:line="360" w:lineRule="auto"/>
        <w:ind w:firstLine="482" w:firstLineChars="200"/>
        <w:rPr>
          <w:rFonts w:ascii="宋体" w:hAnsi="宋体"/>
          <w:sz w:val="24"/>
        </w:rPr>
      </w:pPr>
      <w:r>
        <w:rPr>
          <w:rFonts w:hint="eastAsia" w:ascii="宋体" w:hAnsi="宋体"/>
          <w:b/>
          <w:sz w:val="24"/>
        </w:rPr>
        <w:t>五、创新管理工作机制，提高教学管理水平</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21.实施校、院两级教学质量管理。学校主要负责人为学校教学质量第一责任人，分管副校长是直接责任人；二级学院主要领导为学院教学质量第一责任人，分管副院长是直接责任人。落实各教学单位教学管理责、权、利，不断加强各教学单位的主人翁意识。充分发挥教研室在教学与管理中的基础性作用。教研室应切实开展教研活动，坚持集体备课与个性彰显相结合，深化教学重点难点问题研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22.落实教授、副教授为本科生上课制度。</w:t>
      </w:r>
      <w:r>
        <w:rPr>
          <w:rFonts w:hint="eastAsia" w:ascii="宋体" w:hAnsi="宋体" w:cs="宋体"/>
          <w:color w:val="000000"/>
          <w:kern w:val="0"/>
          <w:sz w:val="24"/>
        </w:rPr>
        <w:t>建立教授、副教授给本科生开课的激励和约束机制，在岗的教授、副教授每学年至少应为本科生讲授一门课程。如无特殊原因，连续两年不为本科生授课的，不再聘任教授、副教授职务。每名专职教师每学期上课不得超过3门，在同一班级同一时段只能担任1门课程的教学，中级及以下职称教师每学期担任新课不得超过1门。</w:t>
      </w:r>
    </w:p>
    <w:p>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23.加快教学管理信息化和队伍建设。全面培训和提高教学管理队伍信息化水平，构建综合、高效、开放、共享的教学管理平台。加强教学管理人员的业务培训、能力提升和工作绩效考核，保持教学管理队伍的相对稳定性，实施优秀教学单位评选活动，不断提高教学管理水平和管理效率。</w:t>
      </w:r>
    </w:p>
    <w:p>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24.严格调课审批制度。涉及全校或全院性质的调课、停课，须经校长或分管教学副校长批准。</w:t>
      </w:r>
    </w:p>
    <w:p>
      <w:pPr>
        <w:widowControl/>
        <w:tabs>
          <w:tab w:val="left" w:pos="6030"/>
        </w:tabs>
        <w:spacing w:line="360" w:lineRule="auto"/>
        <w:ind w:firstLine="482" w:firstLineChars="200"/>
        <w:jc w:val="left"/>
        <w:rPr>
          <w:rFonts w:ascii="宋体" w:hAnsi="宋体" w:cs="宋体"/>
          <w:bCs/>
          <w:kern w:val="0"/>
          <w:sz w:val="24"/>
        </w:rPr>
      </w:pPr>
      <w:r>
        <w:rPr>
          <w:rFonts w:hint="eastAsia" w:ascii="宋体" w:hAnsi="宋体" w:cs="宋体"/>
          <w:b/>
          <w:bCs/>
          <w:kern w:val="0"/>
          <w:sz w:val="24"/>
        </w:rPr>
        <w:t>六、</w:t>
      </w:r>
      <w:r>
        <w:rPr>
          <w:rFonts w:hint="eastAsia" w:ascii="宋体" w:hAnsi="宋体"/>
          <w:b/>
          <w:sz w:val="24"/>
        </w:rPr>
        <w:t>加强学风建设，营造良好学习氛围</w:t>
      </w:r>
      <w:r>
        <w:rPr>
          <w:rFonts w:ascii="宋体" w:hAnsi="宋体"/>
          <w:b/>
          <w:sz w:val="24"/>
        </w:rPr>
        <w:tab/>
      </w:r>
    </w:p>
    <w:p>
      <w:pPr>
        <w:widowControl/>
        <w:spacing w:line="360" w:lineRule="auto"/>
        <w:ind w:firstLine="480" w:firstLineChars="200"/>
        <w:jc w:val="left"/>
        <w:rPr>
          <w:rFonts w:ascii="宋体" w:hAnsi="宋体" w:cs="宋体"/>
          <w:color w:val="000000"/>
          <w:kern w:val="0"/>
          <w:sz w:val="24"/>
        </w:rPr>
      </w:pPr>
      <w:r>
        <w:rPr>
          <w:rFonts w:hint="eastAsia" w:ascii="宋体" w:hAnsi="宋体" w:cs="宋体"/>
          <w:bCs/>
          <w:color w:val="000000"/>
          <w:kern w:val="0"/>
          <w:sz w:val="24"/>
        </w:rPr>
        <w:t>25</w:t>
      </w:r>
      <w:r>
        <w:rPr>
          <w:rFonts w:hint="eastAsia" w:ascii="宋体" w:hAnsi="宋体" w:cs="宋体"/>
          <w:color w:val="000000"/>
          <w:kern w:val="0"/>
          <w:sz w:val="24"/>
        </w:rPr>
        <w:t>.</w:t>
      </w:r>
      <w:r>
        <w:rPr>
          <w:rFonts w:hint="eastAsia" w:ascii="宋体" w:hAnsi="宋体"/>
          <w:bCs/>
          <w:sz w:val="24"/>
        </w:rPr>
        <w:t>采取各种方式对大学生进行思想教育、法制教育、诚信教育以及心理健康教育，引导学生树</w:t>
      </w:r>
      <w:r>
        <w:rPr>
          <w:rFonts w:hint="eastAsia" w:ascii="宋体" w:hAnsi="宋体"/>
          <w:sz w:val="24"/>
        </w:rPr>
        <w:t>立正确的学习观、人才观、就业观，养成良好的学习习惯、饮食习惯、起居习惯和锻炼习惯。</w:t>
      </w:r>
    </w:p>
    <w:p>
      <w:pPr>
        <w:widowControl/>
        <w:spacing w:line="360" w:lineRule="auto"/>
        <w:ind w:firstLine="480" w:firstLineChars="200"/>
        <w:jc w:val="left"/>
        <w:rPr>
          <w:rFonts w:ascii="宋体" w:hAnsi="宋体"/>
          <w:sz w:val="24"/>
        </w:rPr>
      </w:pPr>
      <w:r>
        <w:rPr>
          <w:rFonts w:hint="eastAsia" w:ascii="宋体" w:hAnsi="宋体"/>
          <w:sz w:val="24"/>
        </w:rPr>
        <w:t>26.严格教学管理和学籍管理。严明学习纪律、严格考试管理、严肃考场纪律、严格评分标准，及时处理考试违纪行为。完善学业警示制度，加强对学生学业的过程管理，采取必要的淘汰机制，保持良好的学风。</w:t>
      </w:r>
    </w:p>
    <w:p>
      <w:pPr>
        <w:spacing w:line="360" w:lineRule="auto"/>
        <w:ind w:firstLine="482" w:firstLineChars="200"/>
        <w:rPr>
          <w:rFonts w:ascii="宋体" w:hAnsi="宋体"/>
          <w:sz w:val="24"/>
        </w:rPr>
      </w:pPr>
      <w:r>
        <w:rPr>
          <w:rFonts w:hint="eastAsia" w:ascii="宋体" w:hAnsi="宋体"/>
          <w:b/>
          <w:sz w:val="24"/>
        </w:rPr>
        <w:t>七、构建教学质量监控体系，建立质量保障长效机制</w:t>
      </w:r>
    </w:p>
    <w:p>
      <w:pPr>
        <w:spacing w:line="360" w:lineRule="auto"/>
        <w:ind w:firstLine="480" w:firstLineChars="200"/>
        <w:rPr>
          <w:rFonts w:ascii="宋体" w:hAnsi="宋体"/>
          <w:sz w:val="24"/>
        </w:rPr>
      </w:pPr>
      <w:r>
        <w:rPr>
          <w:rFonts w:hint="eastAsia" w:ascii="宋体" w:hAnsi="宋体" w:cs="宋体"/>
          <w:color w:val="000000"/>
          <w:kern w:val="0"/>
          <w:sz w:val="24"/>
        </w:rPr>
        <w:t>27.完善质量保障体系。进一步完善以学校领导、教学指导委员会、教学督导委员会、院（部）领导、学生信息员等构成的校、院（部）两级教学质量保障体系。逐步建立用人单位、教师、学生共同参与的教学质量保障与评价机制，加强毕业生质量跟踪调查，充分发挥各种质量保障手段的作用。</w:t>
      </w:r>
    </w:p>
    <w:p>
      <w:pPr>
        <w:spacing w:line="360" w:lineRule="auto"/>
        <w:ind w:firstLine="480" w:firstLineChars="200"/>
        <w:rPr>
          <w:rFonts w:ascii="宋体" w:hAnsi="宋体"/>
          <w:sz w:val="24"/>
        </w:rPr>
      </w:pPr>
      <w:r>
        <w:rPr>
          <w:rStyle w:val="12"/>
          <w:rFonts w:hint="eastAsia" w:ascii="宋体" w:hAnsi="宋体"/>
          <w:b w:val="0"/>
          <w:bCs w:val="0"/>
          <w:sz w:val="24"/>
        </w:rPr>
        <w:t>28.</w:t>
      </w:r>
      <w:r>
        <w:rPr>
          <w:rFonts w:hint="eastAsia" w:ascii="宋体" w:hAnsi="宋体"/>
          <w:sz w:val="24"/>
        </w:rPr>
        <w:t>建立健全教学检查、教学督导、教学评价相结合的质量监控体系。继续实施常规教学检查制度，做好教学检查工作。坚持教学运行周报制度和教学质量督导简报制度，</w:t>
      </w:r>
      <w:r>
        <w:rPr>
          <w:rFonts w:hint="eastAsia" w:ascii="宋体" w:hAnsi="宋体" w:cs="宋体"/>
          <w:color w:val="000000"/>
          <w:kern w:val="0"/>
          <w:sz w:val="24"/>
        </w:rPr>
        <w:t>进一步健全校、院两级督导体系，</w:t>
      </w:r>
      <w:r>
        <w:rPr>
          <w:rFonts w:hint="eastAsia" w:ascii="宋体" w:hAnsi="宋体" w:cs="Arial"/>
          <w:kern w:val="0"/>
          <w:sz w:val="24"/>
        </w:rPr>
        <w:t>建设专兼职督导队伍，积极开展督建、督管、督教、督学工作，限期整改</w:t>
      </w:r>
      <w:r>
        <w:rPr>
          <w:rFonts w:hint="eastAsia" w:ascii="宋体" w:hAnsi="宋体"/>
          <w:sz w:val="24"/>
        </w:rPr>
        <w:t>，健全领导、专家、同行、学生四维评教体系，有效开展教学质量监控工作。</w:t>
      </w:r>
    </w:p>
    <w:p>
      <w:pPr>
        <w:spacing w:line="360" w:lineRule="auto"/>
        <w:ind w:firstLine="480" w:firstLineChars="200"/>
        <w:rPr>
          <w:rFonts w:ascii="宋体" w:hAnsi="宋体"/>
          <w:sz w:val="24"/>
        </w:rPr>
      </w:pPr>
      <w:r>
        <w:rPr>
          <w:rStyle w:val="12"/>
          <w:rFonts w:hint="eastAsia" w:ascii="宋体" w:hAnsi="宋体"/>
          <w:b w:val="0"/>
          <w:bCs w:val="0"/>
          <w:sz w:val="24"/>
        </w:rPr>
        <w:t>29.建立教学评估长效机制</w:t>
      </w:r>
      <w:r>
        <w:rPr>
          <w:rFonts w:hint="eastAsia" w:ascii="宋体" w:hAnsi="宋体"/>
          <w:sz w:val="24"/>
        </w:rPr>
        <w:t>。建立健全以自我评估为基础，以学院评估、专业评估、课程评估三级评估体系和本科教学基本状态数据常态监测为主要内容，以校、院两级本科教学质量年度报告为主要手段的本科教学评估长效机制，切实提升我校教师教学水平和人才培养质量。</w:t>
      </w:r>
      <w:r>
        <w:rPr>
          <w:rFonts w:hint="eastAsia" w:ascii="宋体" w:hAnsi="宋体" w:cs="Arial"/>
          <w:kern w:val="0"/>
          <w:sz w:val="24"/>
        </w:rPr>
        <w:t>评估中心要</w:t>
      </w:r>
      <w:r>
        <w:rPr>
          <w:rFonts w:hint="eastAsia" w:ascii="宋体" w:hAnsi="宋体" w:cs="宋体"/>
          <w:kern w:val="0"/>
          <w:sz w:val="24"/>
        </w:rPr>
        <w:t>围绕教学条件、教学服务、教学过程、教学效果、人才培养目标与社会需求符合度等关键领域开展自评。</w:t>
      </w:r>
    </w:p>
    <w:p>
      <w:pPr>
        <w:spacing w:line="360" w:lineRule="auto"/>
        <w:ind w:firstLine="480" w:firstLineChars="200"/>
        <w:rPr>
          <w:rFonts w:ascii="宋体" w:hAnsi="宋体"/>
          <w:sz w:val="24"/>
        </w:rPr>
      </w:pPr>
      <w:r>
        <w:rPr>
          <w:rStyle w:val="12"/>
          <w:rFonts w:hint="eastAsia" w:ascii="宋体" w:hAnsi="宋体"/>
          <w:b w:val="0"/>
          <w:bCs w:val="0"/>
          <w:sz w:val="24"/>
        </w:rPr>
        <w:t>30.建立项目推动发展机制</w:t>
      </w:r>
      <w:r>
        <w:rPr>
          <w:rFonts w:hint="eastAsia" w:ascii="宋体" w:hAnsi="宋体"/>
          <w:sz w:val="24"/>
        </w:rPr>
        <w:t>。学校设立专项经费，按照统筹规划、分步实施、动态调整的原则，对重大改革以项目形式推进，确保取得实效。</w:t>
      </w:r>
    </w:p>
    <w:p>
      <w:pPr>
        <w:spacing w:line="360" w:lineRule="auto"/>
        <w:ind w:right="960"/>
        <w:jc w:val="right"/>
        <w:rPr>
          <w:rFonts w:ascii="宋体" w:hAnsi="宋体"/>
          <w:sz w:val="24"/>
        </w:rPr>
      </w:pPr>
      <w:r>
        <w:rPr>
          <w:rFonts w:hint="eastAsia" w:ascii="宋体" w:hAnsi="宋体"/>
          <w:sz w:val="24"/>
        </w:rPr>
        <w:t>2013年1月9日</w:t>
      </w:r>
    </w:p>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inorEastAsia" w:hAnsiTheme="minorEastAsia"/>
          <w:b/>
          <w:bCs/>
          <w:w w:val="90"/>
          <w:sz w:val="32"/>
          <w:szCs w:val="32"/>
        </w:rPr>
      </w:pPr>
      <w:r>
        <w:rPr>
          <w:rFonts w:hint="eastAsia" w:asciiTheme="minorEastAsia" w:hAnsiTheme="minorEastAsia"/>
          <w:b/>
          <w:bCs/>
          <w:w w:val="90"/>
          <w:sz w:val="32"/>
          <w:szCs w:val="32"/>
        </w:rPr>
        <w:t>内江师范学院教育教学改革研究项目管理办法</w:t>
      </w:r>
    </w:p>
    <w:p>
      <w:pPr>
        <w:widowControl/>
        <w:spacing w:line="560" w:lineRule="exact"/>
        <w:jc w:val="center"/>
        <w:rPr>
          <w:rFonts w:cs="宋体" w:asciiTheme="minorEastAsia" w:hAnsiTheme="minorEastAsia"/>
          <w:b/>
          <w:kern w:val="0"/>
          <w:sz w:val="28"/>
          <w:szCs w:val="28"/>
        </w:rPr>
      </w:pPr>
      <w:bookmarkStart w:id="21" w:name="doc_mark"/>
      <w:r>
        <w:rPr>
          <w:rFonts w:hint="eastAsia" w:cs="宋体" w:asciiTheme="minorEastAsia" w:hAnsiTheme="minorEastAsia"/>
          <w:b/>
          <w:kern w:val="0"/>
          <w:sz w:val="28"/>
          <w:szCs w:val="28"/>
        </w:rPr>
        <w:t>内师院发〔</w:t>
      </w:r>
      <w:r>
        <w:rPr>
          <w:rFonts w:cs="宋体" w:asciiTheme="minorEastAsia" w:hAnsiTheme="minorEastAsia"/>
          <w:b/>
          <w:kern w:val="0"/>
          <w:sz w:val="28"/>
          <w:szCs w:val="28"/>
        </w:rPr>
        <w:t>2018〕105号</w:t>
      </w:r>
      <w:bookmarkEnd w:id="21"/>
    </w:p>
    <w:p>
      <w:pPr>
        <w:widowControl/>
        <w:spacing w:line="560" w:lineRule="exact"/>
        <w:jc w:val="center"/>
        <w:rPr>
          <w:rFonts w:cs="宋体" w:asciiTheme="minorEastAsia" w:hAnsiTheme="minorEastAsia"/>
          <w:b/>
          <w:kern w:val="0"/>
          <w:sz w:val="28"/>
          <w:szCs w:val="28"/>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第一章  总则</w:t>
      </w:r>
    </w:p>
    <w:p>
      <w:pPr>
        <w:spacing w:line="360" w:lineRule="auto"/>
        <w:ind w:firstLine="482" w:firstLineChars="200"/>
        <w:rPr>
          <w:rFonts w:asciiTheme="minorEastAsia" w:hAnsiTheme="minorEastAsia"/>
          <w:bCs/>
          <w:sz w:val="24"/>
          <w:szCs w:val="24"/>
        </w:rPr>
      </w:pPr>
      <w:r>
        <w:rPr>
          <w:rFonts w:hint="eastAsia" w:asciiTheme="minorEastAsia" w:hAnsiTheme="minorEastAsia"/>
          <w:b/>
          <w:sz w:val="24"/>
          <w:szCs w:val="24"/>
        </w:rPr>
        <w:t xml:space="preserve">第一条 </w:t>
      </w:r>
      <w:r>
        <w:rPr>
          <w:rFonts w:hint="eastAsia" w:asciiTheme="minorEastAsia" w:hAnsiTheme="minorEastAsia"/>
          <w:sz w:val="24"/>
          <w:szCs w:val="24"/>
        </w:rPr>
        <w:t>为贯彻</w:t>
      </w:r>
      <w:r>
        <w:rPr>
          <w:rFonts w:hint="eastAsia" w:asciiTheme="minorEastAsia" w:hAnsiTheme="minorEastAsia"/>
          <w:bCs/>
          <w:sz w:val="24"/>
          <w:szCs w:val="24"/>
        </w:rPr>
        <w:t>《教育部　财政部关于“十二五”期间实施“高等学校本科教学质量与教学改革工程”的意见》（教高〔2011〕6号）和</w:t>
      </w:r>
      <w:r>
        <w:rPr>
          <w:rFonts w:hint="eastAsia" w:asciiTheme="minorEastAsia" w:hAnsiTheme="minorEastAsia"/>
          <w:sz w:val="24"/>
          <w:szCs w:val="24"/>
        </w:rPr>
        <w:t>《</w:t>
      </w:r>
      <w:r>
        <w:rPr>
          <w:rFonts w:hint="eastAsia" w:asciiTheme="minorEastAsia" w:hAnsiTheme="minorEastAsia"/>
          <w:bCs/>
          <w:sz w:val="24"/>
          <w:szCs w:val="24"/>
        </w:rPr>
        <w:t>国家中长期教育改革与发展规划纲要（2010-2020年）》精神，落实党的十九大报告中关于“实现高等教育内涵式发展”的总体要求，加强我校教育教学改革研究项目（以下简称“教研项目”）管理的规范性，进一步深化教育教学改革，结合我校实际，特制定本办法。</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第二条 </w:t>
      </w:r>
      <w:r>
        <w:rPr>
          <w:rFonts w:hint="eastAsia" w:asciiTheme="minorEastAsia" w:hAnsiTheme="minorEastAsia"/>
          <w:sz w:val="24"/>
          <w:szCs w:val="24"/>
        </w:rPr>
        <w:t>教研项目建设以提高人才培养质量为核心，根据“统一规划、分级管理，突出重点、鼓励特色、绩效考核”的原则，围绕学校人才培养目标，以推进教学建设、加强优质教学资源共建共享为主要内容，推动学校内涵式发展。</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第三条 </w:t>
      </w:r>
      <w:r>
        <w:rPr>
          <w:rFonts w:hint="eastAsia" w:asciiTheme="minorEastAsia" w:hAnsiTheme="minorEastAsia"/>
          <w:sz w:val="24"/>
          <w:szCs w:val="24"/>
        </w:rPr>
        <w:t>本管理办法适用于校级各类教研项目。校级教研项目包括四个子类：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Ⅰ.专业改革类，包括专业综合改革、卓越人才培养计划、应用型示范专业等以专业为基础开展的教学改革项目；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Ⅱ.平台建设类，包括实验教学示范中心、大学生校外实践基地、教学团队等教学改革平台建设项目；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Ⅲ.课程建设类，包括精品视频公开课、精品资源共享课、精品在线开放课程、创新创业教育示范课程、专业核心课、双语课程、优质通识选修课等课程建设项目；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Ⅳ.单项改革类，包括教改项目、教材建设等在某一方面进行研究与改革的项目。</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国家级和省级教研项目的申报、建设、检查和验收等管理工作，按上级有关规定并参照本办法执行。</w:t>
      </w:r>
    </w:p>
    <w:p>
      <w:pPr>
        <w:spacing w:line="360" w:lineRule="auto"/>
        <w:jc w:val="center"/>
        <w:rPr>
          <w:rFonts w:asciiTheme="minorEastAsia" w:hAnsiTheme="minorEastAsia"/>
          <w:b/>
          <w:sz w:val="24"/>
          <w:szCs w:val="24"/>
        </w:rPr>
      </w:pPr>
      <w:r>
        <w:rPr>
          <w:rFonts w:hint="eastAsia" w:asciiTheme="minorEastAsia" w:hAnsiTheme="minorEastAsia"/>
          <w:b/>
          <w:sz w:val="24"/>
          <w:szCs w:val="24"/>
        </w:rPr>
        <w:t>第二章  管理机制</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第四条 </w:t>
      </w:r>
      <w:r>
        <w:rPr>
          <w:rFonts w:hint="eastAsia" w:asciiTheme="minorEastAsia" w:hAnsiTheme="minorEastAsia"/>
          <w:sz w:val="24"/>
          <w:szCs w:val="24"/>
        </w:rPr>
        <w:t>教研项目的建设管理实行项目负责人负责制。学校对项目实行校院两级管理，教务处代表学校具体实施项目管理工作。</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第五条 </w:t>
      </w:r>
      <w:r>
        <w:rPr>
          <w:rFonts w:hint="eastAsia" w:asciiTheme="minorEastAsia" w:hAnsiTheme="minorEastAsia"/>
          <w:sz w:val="24"/>
          <w:szCs w:val="24"/>
        </w:rPr>
        <w:t>教务处全面负责各级各类教研项目的管理工作，主要履行以下职责：</w:t>
      </w:r>
    </w:p>
    <w:p>
      <w:pPr>
        <w:spacing w:line="360" w:lineRule="auto"/>
        <w:ind w:firstLine="560"/>
        <w:rPr>
          <w:rFonts w:asciiTheme="minorEastAsia" w:hAnsiTheme="minorEastAsia"/>
          <w:sz w:val="24"/>
          <w:szCs w:val="24"/>
        </w:rPr>
      </w:pPr>
      <w:r>
        <w:rPr>
          <w:rFonts w:hint="eastAsia" w:asciiTheme="minorEastAsia" w:hAnsiTheme="minorEastAsia"/>
          <w:sz w:val="24"/>
          <w:szCs w:val="24"/>
        </w:rPr>
        <w:t>1.根据相关文件要求，制定项目建设规划和管理办法；</w:t>
      </w:r>
    </w:p>
    <w:p>
      <w:pPr>
        <w:spacing w:line="360" w:lineRule="auto"/>
        <w:ind w:firstLine="560"/>
        <w:rPr>
          <w:rFonts w:asciiTheme="minorEastAsia" w:hAnsiTheme="minorEastAsia"/>
          <w:sz w:val="24"/>
          <w:szCs w:val="24"/>
        </w:rPr>
      </w:pPr>
      <w:r>
        <w:rPr>
          <w:rFonts w:hint="eastAsia" w:asciiTheme="minorEastAsia" w:hAnsiTheme="minorEastAsia"/>
          <w:sz w:val="24"/>
          <w:szCs w:val="24"/>
        </w:rPr>
        <w:t>2.制订和发布教研项目申报指南；</w:t>
      </w:r>
    </w:p>
    <w:p>
      <w:pPr>
        <w:spacing w:line="360" w:lineRule="auto"/>
        <w:ind w:firstLine="560"/>
        <w:rPr>
          <w:rFonts w:asciiTheme="minorEastAsia" w:hAnsiTheme="minorEastAsia"/>
          <w:sz w:val="24"/>
          <w:szCs w:val="24"/>
        </w:rPr>
      </w:pPr>
      <w:r>
        <w:rPr>
          <w:rFonts w:hint="eastAsia" w:asciiTheme="minorEastAsia" w:hAnsiTheme="minorEastAsia"/>
          <w:sz w:val="24"/>
          <w:szCs w:val="24"/>
        </w:rPr>
        <w:t>3.组织教研项目的立项、检查与验收；</w:t>
      </w:r>
    </w:p>
    <w:p>
      <w:pPr>
        <w:spacing w:line="360" w:lineRule="auto"/>
        <w:ind w:firstLine="560"/>
        <w:rPr>
          <w:rFonts w:asciiTheme="minorEastAsia" w:hAnsiTheme="minorEastAsia"/>
          <w:sz w:val="24"/>
          <w:szCs w:val="24"/>
        </w:rPr>
      </w:pPr>
      <w:r>
        <w:rPr>
          <w:rFonts w:hint="eastAsia" w:asciiTheme="minorEastAsia" w:hAnsiTheme="minorEastAsia"/>
          <w:sz w:val="24"/>
          <w:szCs w:val="24"/>
        </w:rPr>
        <w:t>4.组织国家级、省级教研项目的遴选推荐工作；</w:t>
      </w:r>
    </w:p>
    <w:p>
      <w:pPr>
        <w:spacing w:line="360" w:lineRule="auto"/>
        <w:ind w:firstLine="560"/>
        <w:rPr>
          <w:rFonts w:asciiTheme="minorEastAsia" w:hAnsiTheme="minorEastAsia"/>
          <w:sz w:val="24"/>
          <w:szCs w:val="24"/>
        </w:rPr>
      </w:pPr>
      <w:r>
        <w:rPr>
          <w:rFonts w:hint="eastAsia" w:asciiTheme="minorEastAsia" w:hAnsiTheme="minorEastAsia"/>
          <w:sz w:val="24"/>
          <w:szCs w:val="24"/>
        </w:rPr>
        <w:t>5.总结项目建设成效，组织项目交流与成果宣传推广。</w:t>
      </w:r>
    </w:p>
    <w:p>
      <w:pPr>
        <w:spacing w:line="360" w:lineRule="auto"/>
        <w:ind w:firstLine="560"/>
        <w:rPr>
          <w:rFonts w:asciiTheme="minorEastAsia" w:hAnsiTheme="minorEastAsia"/>
          <w:sz w:val="24"/>
          <w:szCs w:val="24"/>
        </w:rPr>
      </w:pPr>
      <w:r>
        <w:rPr>
          <w:rFonts w:hint="eastAsia" w:asciiTheme="minorEastAsia" w:hAnsiTheme="minorEastAsia"/>
          <w:b/>
          <w:sz w:val="24"/>
          <w:szCs w:val="24"/>
        </w:rPr>
        <w:t xml:space="preserve">第六条 </w:t>
      </w:r>
      <w:r>
        <w:rPr>
          <w:rFonts w:hint="eastAsia" w:asciiTheme="minorEastAsia" w:hAnsiTheme="minorEastAsia"/>
          <w:sz w:val="24"/>
          <w:szCs w:val="24"/>
        </w:rPr>
        <w:t>教学单位是教研项目建设与实施的具体责任单位，主要履行以下职责：</w:t>
      </w:r>
    </w:p>
    <w:p>
      <w:pPr>
        <w:spacing w:line="360" w:lineRule="auto"/>
        <w:ind w:firstLine="560"/>
        <w:rPr>
          <w:rFonts w:asciiTheme="minorEastAsia" w:hAnsiTheme="minorEastAsia"/>
          <w:sz w:val="24"/>
          <w:szCs w:val="24"/>
        </w:rPr>
      </w:pPr>
      <w:r>
        <w:rPr>
          <w:rFonts w:hint="eastAsia" w:asciiTheme="minorEastAsia" w:hAnsiTheme="minorEastAsia"/>
          <w:sz w:val="24"/>
          <w:szCs w:val="24"/>
        </w:rPr>
        <w:t>1.制定本单位的项目建设规划；</w:t>
      </w:r>
    </w:p>
    <w:p>
      <w:pPr>
        <w:spacing w:line="360" w:lineRule="auto"/>
        <w:ind w:firstLine="560"/>
        <w:rPr>
          <w:rFonts w:asciiTheme="minorEastAsia" w:hAnsiTheme="minorEastAsia"/>
          <w:sz w:val="24"/>
          <w:szCs w:val="24"/>
        </w:rPr>
      </w:pPr>
      <w:r>
        <w:rPr>
          <w:rFonts w:hint="eastAsia" w:asciiTheme="minorEastAsia" w:hAnsiTheme="minorEastAsia"/>
          <w:sz w:val="24"/>
          <w:szCs w:val="24"/>
        </w:rPr>
        <w:t>2.组织项目的申报和遴选工作；</w:t>
      </w:r>
    </w:p>
    <w:p>
      <w:pPr>
        <w:spacing w:line="360" w:lineRule="auto"/>
        <w:ind w:firstLine="560"/>
        <w:rPr>
          <w:rFonts w:asciiTheme="minorEastAsia" w:hAnsiTheme="minorEastAsia"/>
          <w:sz w:val="24"/>
          <w:szCs w:val="24"/>
        </w:rPr>
      </w:pPr>
      <w:r>
        <w:rPr>
          <w:rFonts w:hint="eastAsia" w:asciiTheme="minorEastAsia" w:hAnsiTheme="minorEastAsia"/>
          <w:sz w:val="24"/>
          <w:szCs w:val="24"/>
        </w:rPr>
        <w:t>3.负责项目建设过程的检查与监督；</w:t>
      </w:r>
    </w:p>
    <w:p>
      <w:pPr>
        <w:spacing w:line="360" w:lineRule="auto"/>
        <w:ind w:firstLine="560"/>
        <w:rPr>
          <w:rFonts w:asciiTheme="minorEastAsia" w:hAnsiTheme="minorEastAsia"/>
          <w:sz w:val="24"/>
          <w:szCs w:val="24"/>
        </w:rPr>
      </w:pPr>
      <w:r>
        <w:rPr>
          <w:rFonts w:hint="eastAsia" w:asciiTheme="minorEastAsia" w:hAnsiTheme="minorEastAsia"/>
          <w:sz w:val="24"/>
          <w:szCs w:val="24"/>
        </w:rPr>
        <w:t>4.做好项目服务工作，为项目的实施提供条件保障；</w:t>
      </w:r>
    </w:p>
    <w:p>
      <w:pPr>
        <w:spacing w:line="360" w:lineRule="auto"/>
        <w:ind w:firstLine="560"/>
        <w:rPr>
          <w:rFonts w:asciiTheme="minorEastAsia" w:hAnsiTheme="minorEastAsia"/>
          <w:sz w:val="24"/>
          <w:szCs w:val="24"/>
        </w:rPr>
      </w:pPr>
      <w:r>
        <w:rPr>
          <w:rFonts w:hint="eastAsia" w:asciiTheme="minorEastAsia" w:hAnsiTheme="minorEastAsia"/>
          <w:sz w:val="24"/>
          <w:szCs w:val="24"/>
        </w:rPr>
        <w:t>5.总结项目成效，推广应用教学改革经验，培育教学成果。</w:t>
      </w:r>
    </w:p>
    <w:p>
      <w:pPr>
        <w:spacing w:line="360" w:lineRule="auto"/>
        <w:ind w:firstLine="560"/>
        <w:rPr>
          <w:rFonts w:asciiTheme="minorEastAsia" w:hAnsiTheme="minorEastAsia"/>
          <w:sz w:val="24"/>
          <w:szCs w:val="24"/>
        </w:rPr>
      </w:pPr>
      <w:r>
        <w:rPr>
          <w:rFonts w:hint="eastAsia" w:asciiTheme="minorEastAsia" w:hAnsiTheme="minorEastAsia"/>
          <w:b/>
          <w:sz w:val="24"/>
          <w:szCs w:val="24"/>
        </w:rPr>
        <w:t xml:space="preserve">第七条 </w:t>
      </w:r>
      <w:r>
        <w:rPr>
          <w:rFonts w:hint="eastAsia" w:asciiTheme="minorEastAsia" w:hAnsiTheme="minorEastAsia"/>
          <w:sz w:val="24"/>
          <w:szCs w:val="24"/>
        </w:rPr>
        <w:t>项目负责人是教研项目建设与实施的具体责任人，主要履行以下职责：</w:t>
      </w:r>
    </w:p>
    <w:p>
      <w:pPr>
        <w:spacing w:line="360" w:lineRule="auto"/>
        <w:ind w:firstLine="560"/>
        <w:rPr>
          <w:rFonts w:asciiTheme="minorEastAsia" w:hAnsiTheme="minorEastAsia"/>
          <w:sz w:val="24"/>
          <w:szCs w:val="24"/>
        </w:rPr>
      </w:pPr>
      <w:r>
        <w:rPr>
          <w:rFonts w:hint="eastAsia" w:asciiTheme="minorEastAsia" w:hAnsiTheme="minorEastAsia"/>
          <w:sz w:val="24"/>
          <w:szCs w:val="24"/>
        </w:rPr>
        <w:t>1.编制项目任务书，制订项目建设计划；</w:t>
      </w:r>
    </w:p>
    <w:p>
      <w:pPr>
        <w:spacing w:line="360" w:lineRule="auto"/>
        <w:ind w:firstLine="560"/>
        <w:rPr>
          <w:rFonts w:asciiTheme="minorEastAsia" w:hAnsiTheme="minorEastAsia"/>
          <w:sz w:val="24"/>
          <w:szCs w:val="24"/>
        </w:rPr>
      </w:pPr>
      <w:r>
        <w:rPr>
          <w:rFonts w:hint="eastAsia" w:asciiTheme="minorEastAsia" w:hAnsiTheme="minorEastAsia"/>
          <w:sz w:val="24"/>
          <w:szCs w:val="24"/>
        </w:rPr>
        <w:t>2.安排项目实施进度，组织项目建设；</w:t>
      </w:r>
    </w:p>
    <w:p>
      <w:pPr>
        <w:spacing w:line="360" w:lineRule="auto"/>
        <w:ind w:firstLine="560"/>
        <w:rPr>
          <w:rFonts w:asciiTheme="minorEastAsia" w:hAnsiTheme="minorEastAsia"/>
          <w:sz w:val="24"/>
          <w:szCs w:val="24"/>
        </w:rPr>
      </w:pPr>
      <w:r>
        <w:rPr>
          <w:rFonts w:hint="eastAsia" w:asciiTheme="minorEastAsia" w:hAnsiTheme="minorEastAsia"/>
          <w:sz w:val="24"/>
          <w:szCs w:val="24"/>
        </w:rPr>
        <w:t>3.按规定合理安排项目经费使用；</w:t>
      </w:r>
    </w:p>
    <w:p>
      <w:pPr>
        <w:spacing w:line="360" w:lineRule="auto"/>
        <w:ind w:firstLine="560"/>
        <w:rPr>
          <w:rFonts w:asciiTheme="minorEastAsia" w:hAnsiTheme="minorEastAsia"/>
          <w:sz w:val="24"/>
          <w:szCs w:val="24"/>
        </w:rPr>
      </w:pPr>
      <w:r>
        <w:rPr>
          <w:rFonts w:hint="eastAsia" w:asciiTheme="minorEastAsia" w:hAnsiTheme="minorEastAsia"/>
          <w:sz w:val="24"/>
          <w:szCs w:val="24"/>
        </w:rPr>
        <w:t>4.按期结题验收，提交项目成果总结及相关支撑材料；</w:t>
      </w:r>
    </w:p>
    <w:p>
      <w:pPr>
        <w:spacing w:line="360" w:lineRule="auto"/>
        <w:ind w:firstLine="560"/>
        <w:rPr>
          <w:rFonts w:asciiTheme="minorEastAsia" w:hAnsiTheme="minorEastAsia"/>
          <w:sz w:val="24"/>
          <w:szCs w:val="24"/>
        </w:rPr>
      </w:pPr>
      <w:r>
        <w:rPr>
          <w:rFonts w:hint="eastAsia" w:asciiTheme="minorEastAsia" w:hAnsiTheme="minorEastAsia"/>
          <w:sz w:val="24"/>
          <w:szCs w:val="24"/>
        </w:rPr>
        <w:t>5.凝练项目建设成果，做好宣传展示工作。</w:t>
      </w:r>
    </w:p>
    <w:p>
      <w:pPr>
        <w:spacing w:line="360" w:lineRule="auto"/>
        <w:jc w:val="center"/>
        <w:rPr>
          <w:rFonts w:asciiTheme="minorEastAsia" w:hAnsiTheme="minorEastAsia"/>
          <w:b/>
          <w:sz w:val="24"/>
          <w:szCs w:val="24"/>
        </w:rPr>
      </w:pPr>
      <w:r>
        <w:rPr>
          <w:rFonts w:hint="eastAsia" w:asciiTheme="minorEastAsia" w:hAnsiTheme="minorEastAsia"/>
          <w:b/>
          <w:sz w:val="24"/>
          <w:szCs w:val="24"/>
        </w:rPr>
        <w:t>第三章  申报立项</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第八条 </w:t>
      </w:r>
      <w:r>
        <w:rPr>
          <w:rFonts w:hint="eastAsia" w:asciiTheme="minorEastAsia" w:hAnsiTheme="minorEastAsia"/>
          <w:sz w:val="24"/>
          <w:szCs w:val="24"/>
        </w:rPr>
        <w:t>教研项目实行校级、省级和国家级三级申报立项。申报高一级项目，原则上应在低一级立项建设的基础上推荐申报。</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第九条 </w:t>
      </w:r>
      <w:r>
        <w:rPr>
          <w:rFonts w:hint="eastAsia" w:asciiTheme="minorEastAsia" w:hAnsiTheme="minorEastAsia"/>
          <w:sz w:val="24"/>
          <w:szCs w:val="24"/>
        </w:rPr>
        <w:t>教研项目负责人须是我校在岗在职教职员工，具体要求以申报指南为准。申请人申报教研项目，每年每个子类分别不能超过1个；已有在研项目且尚未结题的，不得再申报同子类的项目，但可再申报其他子类项目1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第十条 </w:t>
      </w:r>
      <w:r>
        <w:rPr>
          <w:rFonts w:hint="eastAsia" w:asciiTheme="minorEastAsia" w:hAnsiTheme="minorEastAsia"/>
          <w:sz w:val="24"/>
          <w:szCs w:val="24"/>
        </w:rPr>
        <w:t>教研项目申报立项评审程序：</w:t>
      </w:r>
    </w:p>
    <w:p>
      <w:pPr>
        <w:spacing w:line="360" w:lineRule="auto"/>
        <w:ind w:firstLine="560"/>
        <w:rPr>
          <w:rFonts w:asciiTheme="minorEastAsia" w:hAnsiTheme="minorEastAsia"/>
          <w:sz w:val="24"/>
          <w:szCs w:val="24"/>
        </w:rPr>
      </w:pPr>
      <w:r>
        <w:rPr>
          <w:rFonts w:hint="eastAsia" w:asciiTheme="minorEastAsia" w:hAnsiTheme="minorEastAsia"/>
          <w:sz w:val="24"/>
          <w:szCs w:val="24"/>
        </w:rPr>
        <w:t>1.教务处发布申报通知和指南；</w:t>
      </w:r>
    </w:p>
    <w:p>
      <w:pPr>
        <w:spacing w:line="360" w:lineRule="auto"/>
        <w:ind w:firstLine="560"/>
        <w:rPr>
          <w:rFonts w:asciiTheme="minorEastAsia" w:hAnsiTheme="minorEastAsia"/>
          <w:sz w:val="24"/>
          <w:szCs w:val="24"/>
        </w:rPr>
      </w:pPr>
      <w:r>
        <w:rPr>
          <w:rFonts w:hint="eastAsia" w:asciiTheme="minorEastAsia" w:hAnsiTheme="minorEastAsia"/>
          <w:sz w:val="24"/>
          <w:szCs w:val="24"/>
        </w:rPr>
        <w:t>2.各教学单位组织申报、推荐；</w:t>
      </w:r>
    </w:p>
    <w:p>
      <w:pPr>
        <w:spacing w:line="360" w:lineRule="auto"/>
        <w:ind w:firstLine="560"/>
        <w:rPr>
          <w:rFonts w:asciiTheme="minorEastAsia" w:hAnsiTheme="minorEastAsia"/>
          <w:sz w:val="24"/>
          <w:szCs w:val="24"/>
        </w:rPr>
      </w:pPr>
      <w:r>
        <w:rPr>
          <w:rFonts w:hint="eastAsia" w:asciiTheme="minorEastAsia" w:hAnsiTheme="minorEastAsia"/>
          <w:sz w:val="24"/>
          <w:szCs w:val="24"/>
        </w:rPr>
        <w:t>3.教务处受理申报项目，组织专家初评并提出立项建议；</w:t>
      </w:r>
    </w:p>
    <w:p>
      <w:pPr>
        <w:spacing w:line="360" w:lineRule="auto"/>
        <w:ind w:firstLine="560"/>
        <w:rPr>
          <w:rFonts w:asciiTheme="minorEastAsia" w:hAnsiTheme="minorEastAsia"/>
          <w:sz w:val="24"/>
          <w:szCs w:val="24"/>
        </w:rPr>
      </w:pPr>
      <w:r>
        <w:rPr>
          <w:rFonts w:hint="eastAsia" w:asciiTheme="minorEastAsia" w:hAnsiTheme="minorEastAsia"/>
          <w:sz w:val="24"/>
          <w:szCs w:val="24"/>
        </w:rPr>
        <w:t>4.报分管校领导审核；</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5.提交学校学术委员会评议，推荐拟立项项目； </w:t>
      </w:r>
    </w:p>
    <w:p>
      <w:pPr>
        <w:spacing w:line="360" w:lineRule="auto"/>
        <w:ind w:firstLine="560"/>
        <w:rPr>
          <w:rFonts w:asciiTheme="minorEastAsia" w:hAnsiTheme="minorEastAsia"/>
          <w:sz w:val="24"/>
          <w:szCs w:val="24"/>
        </w:rPr>
      </w:pPr>
      <w:r>
        <w:rPr>
          <w:rFonts w:hint="eastAsia" w:asciiTheme="minorEastAsia" w:hAnsiTheme="minorEastAsia"/>
          <w:sz w:val="24"/>
          <w:szCs w:val="24"/>
        </w:rPr>
        <w:t>6.报校长办公会审定；</w:t>
      </w:r>
    </w:p>
    <w:p>
      <w:pPr>
        <w:spacing w:line="360" w:lineRule="auto"/>
        <w:ind w:firstLine="560"/>
        <w:rPr>
          <w:rFonts w:asciiTheme="minorEastAsia" w:hAnsiTheme="minorEastAsia"/>
          <w:sz w:val="24"/>
          <w:szCs w:val="24"/>
        </w:rPr>
      </w:pPr>
      <w:r>
        <w:rPr>
          <w:rFonts w:hint="eastAsia" w:asciiTheme="minorEastAsia" w:hAnsiTheme="minorEastAsia"/>
          <w:sz w:val="24"/>
          <w:szCs w:val="24"/>
        </w:rPr>
        <w:t>7.公示评审结果；</w:t>
      </w:r>
    </w:p>
    <w:p>
      <w:pPr>
        <w:spacing w:line="360" w:lineRule="auto"/>
        <w:ind w:firstLine="560"/>
        <w:rPr>
          <w:rFonts w:asciiTheme="minorEastAsia" w:hAnsiTheme="minorEastAsia"/>
          <w:sz w:val="24"/>
          <w:szCs w:val="24"/>
        </w:rPr>
      </w:pPr>
      <w:r>
        <w:rPr>
          <w:rFonts w:hint="eastAsia" w:asciiTheme="minorEastAsia" w:hAnsiTheme="minorEastAsia"/>
          <w:sz w:val="24"/>
          <w:szCs w:val="24"/>
        </w:rPr>
        <w:t>8.发文立项。</w:t>
      </w:r>
    </w:p>
    <w:p>
      <w:pPr>
        <w:spacing w:line="360" w:lineRule="auto"/>
        <w:jc w:val="center"/>
        <w:rPr>
          <w:rFonts w:asciiTheme="minorEastAsia" w:hAnsiTheme="minorEastAsia"/>
          <w:b/>
          <w:sz w:val="24"/>
          <w:szCs w:val="24"/>
        </w:rPr>
      </w:pPr>
      <w:r>
        <w:rPr>
          <w:rFonts w:hint="eastAsia" w:asciiTheme="minorEastAsia" w:hAnsiTheme="minorEastAsia"/>
          <w:b/>
          <w:sz w:val="24"/>
          <w:szCs w:val="24"/>
        </w:rPr>
        <w:t>第四章  检查与验收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第十一条 </w:t>
      </w:r>
      <w:r>
        <w:rPr>
          <w:rFonts w:hint="eastAsia" w:asciiTheme="minorEastAsia" w:hAnsiTheme="minorEastAsia"/>
          <w:sz w:val="24"/>
          <w:szCs w:val="24"/>
        </w:rPr>
        <w:t>教研项目一经批准立项，项目负责人必须及时组织撰写项目建设任务书，且严格按项目建设任务书规定建设，学校依据项目建设任务书下拨首批建设经费。</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第十二条 </w:t>
      </w:r>
      <w:r>
        <w:rPr>
          <w:rFonts w:hint="eastAsia" w:asciiTheme="minorEastAsia" w:hAnsiTheme="minorEastAsia"/>
          <w:sz w:val="24"/>
          <w:szCs w:val="24"/>
        </w:rPr>
        <w:t>教研项目的建设内容、进度安排及项目组成员等不得随意调整。如确需调整的，项目组须提交书面申请，经项目单位审核，报学校审批通过后方可执行。</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第十三条 </w:t>
      </w:r>
      <w:r>
        <w:rPr>
          <w:rFonts w:hint="eastAsia" w:asciiTheme="minorEastAsia" w:hAnsiTheme="minorEastAsia"/>
          <w:sz w:val="24"/>
          <w:szCs w:val="24"/>
        </w:rPr>
        <w:t>教研项目的研究周期一般为2-5年。根据项目建设实际情况，项目研究周期原则上可申请延长1年。</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第十四条 </w:t>
      </w:r>
      <w:r>
        <w:rPr>
          <w:rFonts w:hint="eastAsia" w:asciiTheme="minorEastAsia" w:hAnsiTheme="minorEastAsia"/>
          <w:sz w:val="24"/>
          <w:szCs w:val="24"/>
        </w:rPr>
        <w:t>教研项目实行跟踪检查制度。跟踪检查主要分年度检查和中期检查两种。</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第十五条 </w:t>
      </w:r>
      <w:r>
        <w:rPr>
          <w:rFonts w:hint="eastAsia" w:asciiTheme="minorEastAsia" w:hAnsiTheme="minorEastAsia"/>
          <w:sz w:val="24"/>
          <w:szCs w:val="24"/>
        </w:rPr>
        <w:t>项目建设年度检查由各教学单位负责，并形成本单位教研项目建设年度进展报告，报教务处；经复查合格后，学校下拨后期建设经费。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经检查不合格的项目，要限期整改，整改期限不超过六个月。整改后报学校再次验收，仍不合格者，校级项目终止建设，并收回剩余经费；省级及以上项目，由项目所在单位提出更换负责人及调整项目组成员意见，经学校审核同意，报上级主管部门。</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第十六条 </w:t>
      </w:r>
      <w:r>
        <w:rPr>
          <w:rFonts w:hint="eastAsia" w:asciiTheme="minorEastAsia" w:hAnsiTheme="minorEastAsia"/>
          <w:sz w:val="24"/>
          <w:szCs w:val="24"/>
        </w:rPr>
        <w:t>中期检查由学校组织进行，根据教学单位的项目建设总体规划和项目任务书，进行定期不定期检查。中期检查中有下列情形之一的，学校将终止项目建设，并收回剩余经费：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1.项目材料弄虚作假；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2.未按要求上报项目有关材料，无故不接受对项目实施情况的检查、监督与审计；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3.项目经费使用不符合有关财务制度规定；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4.有其他违反项目管理规定的行为。</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第十七条 </w:t>
      </w:r>
      <w:r>
        <w:rPr>
          <w:rFonts w:hint="eastAsia" w:asciiTheme="minorEastAsia" w:hAnsiTheme="minorEastAsia"/>
          <w:sz w:val="24"/>
          <w:szCs w:val="24"/>
        </w:rPr>
        <w:t>教研项目结题验收由教务处组织，采取专家评审、结题答辩、实地验收等方式进行。未达到验收要求的项目，须限期整改，整改后仍不能通过验收的项目，终止项目建设，并收回剩余经费；对无故不完成项目的，学校将终止项目建设，收回剩余经费，且项目负责人3年内不得申请教研项目。</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第十八条 </w:t>
      </w:r>
      <w:r>
        <w:rPr>
          <w:rFonts w:hint="eastAsia" w:asciiTheme="minorEastAsia" w:hAnsiTheme="minorEastAsia"/>
          <w:sz w:val="24"/>
          <w:szCs w:val="24"/>
        </w:rPr>
        <w:t>建设期限到期仍未完成建设计划的项目如欲延期，项目负责人应写出书面说明，并提交延期计划和方案，报学校批准后方可延期建设；逾期未报者视为结题验收不合格。</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第十九条 </w:t>
      </w:r>
      <w:r>
        <w:rPr>
          <w:rFonts w:hint="eastAsia" w:asciiTheme="minorEastAsia" w:hAnsiTheme="minorEastAsia"/>
          <w:sz w:val="24"/>
          <w:szCs w:val="24"/>
        </w:rPr>
        <w:t>作为项目成果出版的教材及公开发表的论文等，须标注项目名称及项目编号，否则不能作为项目成果验收，也不给予经费支持。</w:t>
      </w:r>
    </w:p>
    <w:p>
      <w:pPr>
        <w:spacing w:line="360" w:lineRule="auto"/>
        <w:jc w:val="center"/>
        <w:rPr>
          <w:rFonts w:asciiTheme="minorEastAsia" w:hAnsiTheme="minorEastAsia"/>
          <w:b/>
          <w:sz w:val="24"/>
          <w:szCs w:val="24"/>
        </w:rPr>
      </w:pPr>
      <w:r>
        <w:rPr>
          <w:rFonts w:hint="eastAsia" w:asciiTheme="minorEastAsia" w:hAnsiTheme="minorEastAsia"/>
          <w:b/>
          <w:sz w:val="24"/>
          <w:szCs w:val="24"/>
        </w:rPr>
        <w:t>第五章  经费管理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第二十条 </w:t>
      </w:r>
      <w:r>
        <w:rPr>
          <w:rFonts w:hint="eastAsia" w:asciiTheme="minorEastAsia" w:hAnsiTheme="minorEastAsia"/>
          <w:sz w:val="24"/>
          <w:szCs w:val="24"/>
        </w:rPr>
        <w:t>教研项目经费实行专项经费管理。校级教研项目由学校拨付专项经费资助；省级及以上教研项目，根据上级文件精神，学校给予经费资助。</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第二十一条 </w:t>
      </w:r>
      <w:r>
        <w:rPr>
          <w:rFonts w:hint="eastAsia" w:asciiTheme="minorEastAsia" w:hAnsiTheme="minorEastAsia"/>
          <w:sz w:val="24"/>
          <w:szCs w:val="24"/>
        </w:rPr>
        <w:t>教研项目经费管理实行项目制。每个教研项目设立专项账户，学校根据相关文件和项目建设任务书拨付或配套项目经费，并根据项目建设进度追加或收回项目经费。</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第二十二条 </w:t>
      </w:r>
      <w:r>
        <w:rPr>
          <w:rFonts w:hint="eastAsia" w:asciiTheme="minorEastAsia" w:hAnsiTheme="minorEastAsia"/>
          <w:sz w:val="24"/>
          <w:szCs w:val="24"/>
        </w:rPr>
        <w:t>项目负责人在项目经费下达后，须进行项目经费预算，项目所在单位负责人应对经费预算严格审核，签字后报教务处审批。审批通过后须严格执行，原则上不做调整；确需调整的，应按规定程序报批。项目经费要科学预算，合理开支。项目支出的审批，参照《内江师范学院经费支出管理办法》（内师院发〔2016〕121号）执行。</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第二十三条 </w:t>
      </w:r>
      <w:r>
        <w:rPr>
          <w:rFonts w:hint="eastAsia" w:asciiTheme="minorEastAsia" w:hAnsiTheme="minorEastAsia"/>
          <w:sz w:val="24"/>
          <w:szCs w:val="24"/>
        </w:rPr>
        <w:t>教研</w:t>
      </w:r>
      <w:r>
        <w:rPr>
          <w:rFonts w:hint="eastAsia" w:asciiTheme="minorEastAsia" w:hAnsiTheme="minorEastAsia"/>
          <w:bCs/>
          <w:sz w:val="24"/>
          <w:szCs w:val="24"/>
        </w:rPr>
        <w:t>项目经费的</w:t>
      </w:r>
      <w:r>
        <w:rPr>
          <w:rFonts w:hint="eastAsia" w:asciiTheme="minorEastAsia" w:hAnsiTheme="minorEastAsia"/>
          <w:sz w:val="24"/>
          <w:szCs w:val="24"/>
        </w:rPr>
        <w:t>开支范围主要包括：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劳务费：包括在项目研究过程中支付给项目组成员、项目聘用的研究人员和参与项目研究、实施的相关人员的智力劳动和事务性费用。在教研项目的四个子类中，课程建设类项目的劳务费比例原则上不高于项目总经费的70%，其他子类项目的劳务费比例原则上不高于项目总经费的30%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2.差旅费：包括项目组成员和外聘专家参加会议、调研的差旅费和交通费。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3.会议费：包括项目组召开的研讨会、论证会、评审会等支出。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4.资料、材料费：资料费包括购买相应的书籍、资料和复印等费用；材料费包括原材料、试剂、药品等消耗品购置费，实验动物、植物的购置、种植、养殖费，标本、样品的采集加工费和包装运输费。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5.办公费：包括日常办公文印费用以及文具、配件、耗材等支出的费用。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6.设备购置费：用于项目研究、演示等必备设备的采购费用，设备采购按学校规定的程序办理。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7.成果费：包括论文版面费、教材或著作出版费、成果鉴定费等。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8.教学资源费：主要包括项目的相关网页建设及教学资源建设、维护费用。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9.项目管理及评审费：主要用于项目申报、管理、中期检查、验收及结题评审，在项目总经费中按5%提取，由教务处统一安排协调使用。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10.其他费用。</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第二十四条 </w:t>
      </w:r>
      <w:r>
        <w:rPr>
          <w:rFonts w:hint="eastAsia" w:asciiTheme="minorEastAsia" w:hAnsiTheme="minorEastAsia"/>
          <w:sz w:val="24"/>
          <w:szCs w:val="24"/>
        </w:rPr>
        <w:t>拟结题验收的教研项目，项目负责人应按照相关要求和规定，根据计划财务处提供的项目财务明细账目和收支完成情况，认真编报项目决算，计划财务处对项目决算的编报应给予相应支持、指导和审查。</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第二十五条 </w:t>
      </w:r>
      <w:r>
        <w:rPr>
          <w:rFonts w:hint="eastAsia" w:asciiTheme="minorEastAsia" w:hAnsiTheme="minorEastAsia"/>
          <w:sz w:val="24"/>
          <w:szCs w:val="24"/>
        </w:rPr>
        <w:t>教研项目的预算表和财务决算书由计划财务处审核盖章确认后上报，同时须向教务处、计划财务处备案。</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第六章  附则</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 xml:space="preserve">第二十六条 </w:t>
      </w:r>
      <w:r>
        <w:rPr>
          <w:rFonts w:hint="eastAsia" w:asciiTheme="minorEastAsia" w:hAnsiTheme="minorEastAsia"/>
          <w:bCs/>
          <w:sz w:val="24"/>
          <w:szCs w:val="24"/>
        </w:rPr>
        <w:t>本办法</w:t>
      </w:r>
      <w:r>
        <w:rPr>
          <w:rFonts w:hint="eastAsia" w:asciiTheme="minorEastAsia" w:hAnsiTheme="minorEastAsia"/>
          <w:sz w:val="24"/>
          <w:szCs w:val="24"/>
        </w:rPr>
        <w:t>自颁</w:t>
      </w:r>
      <w:r>
        <w:rPr>
          <w:rFonts w:hint="eastAsia" w:asciiTheme="minorEastAsia" w:hAnsiTheme="minorEastAsia"/>
          <w:bCs/>
          <w:sz w:val="24"/>
          <w:szCs w:val="24"/>
        </w:rPr>
        <w:t>布之日起执行</w:t>
      </w:r>
      <w:r>
        <w:rPr>
          <w:rFonts w:hint="eastAsia" w:asciiTheme="minorEastAsia" w:hAnsiTheme="minorEastAsia"/>
          <w:sz w:val="24"/>
          <w:szCs w:val="24"/>
        </w:rPr>
        <w:t>。原《内江师范学院本科教学质量与教学改革工程项目管理办法》（内师院发〔2012〕25号）和《内江师范学院教改项目管理办法(修订）》（内师教字〔2015〕41号）同时废止。其他相关文件与本办法不一致的，以本办法为准。</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 xml:space="preserve">第二十七条 </w:t>
      </w:r>
      <w:r>
        <w:rPr>
          <w:rFonts w:hint="eastAsia" w:asciiTheme="minorEastAsia" w:hAnsiTheme="minorEastAsia"/>
          <w:sz w:val="24"/>
          <w:szCs w:val="24"/>
        </w:rPr>
        <w:t>本办法</w:t>
      </w:r>
      <w:r>
        <w:rPr>
          <w:rFonts w:hint="eastAsia" w:asciiTheme="minorEastAsia" w:hAnsiTheme="minorEastAsia"/>
          <w:bCs/>
          <w:sz w:val="24"/>
          <w:szCs w:val="24"/>
        </w:rPr>
        <w:t>由</w:t>
      </w:r>
      <w:r>
        <w:rPr>
          <w:rFonts w:hint="eastAsia" w:asciiTheme="minorEastAsia" w:hAnsiTheme="minorEastAsia"/>
          <w:sz w:val="24"/>
          <w:szCs w:val="24"/>
        </w:rPr>
        <w:t>教务处负责解释</w:t>
      </w:r>
      <w:r>
        <w:rPr>
          <w:rFonts w:hint="eastAsia" w:asciiTheme="minorEastAsia" w:hAnsiTheme="minorEastAsia"/>
          <w:bCs/>
          <w:sz w:val="24"/>
          <w:szCs w:val="24"/>
        </w:rPr>
        <w:t>。</w:t>
      </w: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 xml:space="preserve">2018年6月26日   </w:t>
      </w:r>
    </w:p>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宋体" w:hAnsi="宋体" w:cs="宋体"/>
          <w:b/>
          <w:bCs/>
          <w:kern w:val="0"/>
          <w:sz w:val="30"/>
          <w:szCs w:val="30"/>
        </w:rPr>
      </w:pPr>
      <w:bookmarkStart w:id="22" w:name="Content"/>
      <w:bookmarkEnd w:id="22"/>
      <w:r>
        <w:rPr>
          <w:rFonts w:hint="eastAsia" w:ascii="宋体" w:hAnsi="宋体" w:cs="宋体"/>
          <w:b/>
          <w:bCs/>
          <w:kern w:val="0"/>
          <w:sz w:val="30"/>
          <w:szCs w:val="30"/>
        </w:rPr>
        <w:t>中共内江</w:t>
      </w:r>
      <w:r>
        <w:rPr>
          <w:rFonts w:hint="eastAsia" w:ascii="宋体" w:hAnsi="宋体" w:cs="迷你繁褚楷"/>
          <w:b/>
          <w:bCs/>
          <w:kern w:val="0"/>
          <w:sz w:val="30"/>
          <w:szCs w:val="30"/>
        </w:rPr>
        <w:t>师</w:t>
      </w:r>
      <w:r>
        <w:rPr>
          <w:rFonts w:hint="eastAsia" w:ascii="宋体" w:hAnsi="宋体" w:cs="宋体"/>
          <w:b/>
          <w:bCs/>
          <w:kern w:val="0"/>
          <w:sz w:val="30"/>
          <w:szCs w:val="30"/>
        </w:rPr>
        <w:t>范</w:t>
      </w:r>
      <w:r>
        <w:rPr>
          <w:rFonts w:hint="eastAsia" w:ascii="宋体" w:hAnsi="宋体" w:cs="迷你繁褚楷"/>
          <w:b/>
          <w:bCs/>
          <w:kern w:val="0"/>
          <w:sz w:val="30"/>
          <w:szCs w:val="30"/>
        </w:rPr>
        <w:t>学</w:t>
      </w:r>
      <w:r>
        <w:rPr>
          <w:rFonts w:hint="eastAsia" w:ascii="宋体" w:hAnsi="宋体" w:cs="宋体"/>
          <w:b/>
          <w:bCs/>
          <w:kern w:val="0"/>
          <w:sz w:val="30"/>
          <w:szCs w:val="30"/>
        </w:rPr>
        <w:t>院委员会 内江师范学院</w:t>
      </w: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关于实施“三分式”人才培养改革的意见</w:t>
      </w:r>
    </w:p>
    <w:p>
      <w:pPr>
        <w:spacing w:line="560" w:lineRule="exact"/>
        <w:jc w:val="center"/>
        <w:rPr>
          <w:rFonts w:ascii="宋体" w:hAnsi="宋体"/>
          <w:b/>
          <w:sz w:val="28"/>
          <w:szCs w:val="28"/>
        </w:rPr>
      </w:pPr>
      <w:r>
        <w:rPr>
          <w:rFonts w:hint="eastAsia" w:ascii="宋体" w:hAnsi="宋体"/>
          <w:b/>
          <w:sz w:val="28"/>
          <w:szCs w:val="28"/>
        </w:rPr>
        <w:t>内师委发〔2018〕73号</w:t>
      </w:r>
    </w:p>
    <w:p>
      <w:pPr>
        <w:spacing w:line="560" w:lineRule="exact"/>
        <w:jc w:val="center"/>
        <w:rPr>
          <w:rFonts w:ascii="宋体" w:hAnsi="宋体"/>
          <w:b/>
          <w:sz w:val="28"/>
          <w:szCs w:val="28"/>
        </w:rPr>
      </w:pPr>
    </w:p>
    <w:p>
      <w:pPr>
        <w:spacing w:line="360" w:lineRule="auto"/>
        <w:ind w:firstLine="480" w:firstLineChars="200"/>
        <w:outlineLvl w:val="0"/>
        <w:rPr>
          <w:rFonts w:ascii="宋体" w:hAnsi="宋体"/>
          <w:sz w:val="24"/>
        </w:rPr>
      </w:pPr>
      <w:r>
        <w:rPr>
          <w:rFonts w:hint="eastAsia" w:ascii="宋体" w:hAnsi="宋体"/>
          <w:sz w:val="24"/>
        </w:rPr>
        <w:t>为深入贯彻落实党的十九大精神，全面贯彻落实全国教育大会、新时代全国高等学校本科教育工作会议及中共四川省委、四川省人民政府《关于全面深化新时代教师队伍建设改革的实施意见》精神，坚持“以本为本”，</w:t>
      </w:r>
      <w:r>
        <w:rPr>
          <w:rFonts w:hint="eastAsia" w:ascii="宋体" w:hAnsi="宋体"/>
          <w:color w:val="000000"/>
          <w:sz w:val="24"/>
        </w:rPr>
        <w:t>推进</w:t>
      </w:r>
      <w:r>
        <w:rPr>
          <w:rFonts w:hint="eastAsia" w:ascii="宋体" w:hAnsi="宋体"/>
          <w:sz w:val="24"/>
        </w:rPr>
        <w:t>“四个回归”，提升人才培养能力和水平，促进人才培养质量的提高，根据中共中央办公厅国务院办公厅《关于深化教育体制机制改革的意见》（中办发〔2017〕46号）、四川省教育厅四川省财政厅《关于印发〈四川省教育综合改革试点项目管理办法〉的通知》(川教〔2015〕17号)及四川省教育体制改革领导小组办公室《关于开展省级教育体制机制改革试点的通知》（川教改办〔2018〕2号）等文件精神，特提出以下意见。</w:t>
      </w:r>
    </w:p>
    <w:p>
      <w:pPr>
        <w:spacing w:line="360" w:lineRule="auto"/>
        <w:ind w:firstLine="482" w:firstLineChars="200"/>
        <w:outlineLvl w:val="0"/>
        <w:rPr>
          <w:rFonts w:ascii="宋体" w:hAnsi="宋体" w:cs="宋体"/>
          <w:b/>
          <w:kern w:val="0"/>
          <w:sz w:val="24"/>
        </w:rPr>
      </w:pPr>
      <w:r>
        <w:rPr>
          <w:rFonts w:hint="eastAsia" w:ascii="宋体" w:hAnsi="宋体" w:cs="宋体"/>
          <w:b/>
          <w:bCs/>
          <w:kern w:val="0"/>
          <w:sz w:val="24"/>
        </w:rPr>
        <w:t>一、</w:t>
      </w:r>
      <w:r>
        <w:rPr>
          <w:rFonts w:hint="eastAsia" w:ascii="宋体" w:hAnsi="宋体" w:cs="迷你繁褚楷"/>
          <w:b/>
          <w:bCs/>
          <w:kern w:val="0"/>
          <w:sz w:val="24"/>
        </w:rPr>
        <w:t>指导思想</w:t>
      </w:r>
    </w:p>
    <w:p>
      <w:pPr>
        <w:spacing w:line="360" w:lineRule="auto"/>
        <w:ind w:firstLine="480" w:firstLineChars="200"/>
        <w:outlineLvl w:val="0"/>
        <w:rPr>
          <w:rFonts w:ascii="宋体" w:hAnsi="宋体"/>
          <w:sz w:val="24"/>
        </w:rPr>
      </w:pPr>
      <w:r>
        <w:rPr>
          <w:rFonts w:hint="eastAsia" w:ascii="宋体" w:hAnsi="宋体"/>
          <w:sz w:val="24"/>
        </w:rPr>
        <w:t>以习近平新时代中国特色社会主义思想为指导，全面贯彻党的教育方针，落实立德树人的根本任务，遵循高等教育发展规律与人才成长规律，大力发展素质教育，培养德智体美劳全面发展的社会主义建设者和接班人，以“扎根地方、追求卓越”办学理念为引领，以“学生中心，因材施教，个性发展”为核心，以人才培养模式改革为抓手，深入开展“三分式”人才培养改革探索与实践，推进学校体制机制改革与创新。通过试点推动、示范引领，强化质量意识，建设质量文化，提高人才培养能力和质量，引导和推动学校人才培养改革的进一步深化，努力实现学校科学发展、内涵发展、特色发展。</w:t>
      </w:r>
    </w:p>
    <w:p>
      <w:pPr>
        <w:spacing w:line="360" w:lineRule="auto"/>
        <w:ind w:firstLine="482" w:firstLineChars="200"/>
        <w:outlineLvl w:val="0"/>
        <w:rPr>
          <w:rFonts w:ascii="宋体" w:hAnsi="宋体" w:cs="宋体"/>
          <w:b/>
          <w:bCs/>
          <w:kern w:val="0"/>
          <w:sz w:val="24"/>
        </w:rPr>
      </w:pPr>
      <w:r>
        <w:rPr>
          <w:rFonts w:hint="eastAsia" w:ascii="宋体" w:hAnsi="宋体" w:cs="宋体"/>
          <w:b/>
          <w:bCs/>
          <w:kern w:val="0"/>
          <w:sz w:val="24"/>
        </w:rPr>
        <w:t>二、改革目标</w:t>
      </w:r>
    </w:p>
    <w:p>
      <w:pPr>
        <w:spacing w:line="360" w:lineRule="auto"/>
        <w:ind w:firstLine="480" w:firstLineChars="200"/>
        <w:outlineLvl w:val="0"/>
        <w:rPr>
          <w:rFonts w:ascii="宋体" w:hAnsi="宋体"/>
          <w:sz w:val="24"/>
        </w:rPr>
      </w:pPr>
      <w:r>
        <w:rPr>
          <w:rFonts w:hint="eastAsia" w:ascii="宋体" w:hAnsi="宋体"/>
          <w:sz w:val="24"/>
        </w:rPr>
        <w:t>根据学校“扎根地方，追求卓越”的办学理念，坚持“以人为本，综合改革，社会合作，错位发展”的办学思路，探索“分类别指导、分阶段培养、分模块推进”的“三分式”人才培养改革的模式与路径，保证各类人才皆发展、皆有成功机会。完善和创新人才培养体制机制，努力解决人才培养改革中的障碍及深层次矛盾，为地方本科院校人才培养改革提供可借鉴的经验及理论依据。</w:t>
      </w:r>
    </w:p>
    <w:p>
      <w:pPr>
        <w:spacing w:line="360" w:lineRule="auto"/>
        <w:ind w:firstLine="482" w:firstLineChars="200"/>
        <w:outlineLvl w:val="0"/>
        <w:rPr>
          <w:rFonts w:ascii="宋体" w:hAnsi="宋体" w:cs="宋体"/>
          <w:b/>
          <w:bCs/>
          <w:kern w:val="0"/>
          <w:sz w:val="24"/>
        </w:rPr>
      </w:pPr>
      <w:r>
        <w:rPr>
          <w:rFonts w:hint="eastAsia" w:ascii="宋体" w:hAnsi="宋体" w:cs="宋体"/>
          <w:b/>
          <w:bCs/>
          <w:kern w:val="0"/>
          <w:sz w:val="24"/>
        </w:rPr>
        <w:t>三、基本原则</w:t>
      </w:r>
    </w:p>
    <w:p>
      <w:pPr>
        <w:spacing w:line="360" w:lineRule="auto"/>
        <w:ind w:firstLine="482" w:firstLineChars="200"/>
        <w:outlineLvl w:val="0"/>
        <w:rPr>
          <w:rFonts w:ascii="宋体" w:hAnsi="宋体"/>
          <w:sz w:val="24"/>
        </w:rPr>
      </w:pPr>
      <w:r>
        <w:rPr>
          <w:rFonts w:hint="eastAsia" w:ascii="宋体" w:hAnsi="宋体"/>
          <w:b/>
          <w:sz w:val="24"/>
        </w:rPr>
        <w:t>（一）育人为本，有效发展原则。</w:t>
      </w:r>
      <w:r>
        <w:rPr>
          <w:rFonts w:hint="eastAsia" w:ascii="宋体" w:hAnsi="宋体"/>
          <w:sz w:val="24"/>
        </w:rPr>
        <w:t>育人为本是教育的生命和灵魂，是教育的核心价值诉求，要始终坚持育人为本，始终坚持科学的教育理念，以培养具有“三心、三能、三精神”的高素质应用型人才作为改革的着力点，提升人才培养能力和水平，将学校人才培养改革引向深入并落到实处。</w:t>
      </w:r>
    </w:p>
    <w:p>
      <w:pPr>
        <w:spacing w:line="360" w:lineRule="auto"/>
        <w:ind w:firstLine="482" w:firstLineChars="200"/>
        <w:outlineLvl w:val="0"/>
        <w:rPr>
          <w:rFonts w:ascii="宋体" w:hAnsi="宋体"/>
          <w:sz w:val="24"/>
        </w:rPr>
      </w:pPr>
      <w:r>
        <w:rPr>
          <w:rFonts w:hint="eastAsia" w:ascii="宋体" w:hAnsi="宋体"/>
          <w:b/>
          <w:sz w:val="24"/>
        </w:rPr>
        <w:t>（二）问题导向，重点突破原则。</w:t>
      </w:r>
      <w:r>
        <w:rPr>
          <w:rFonts w:hint="eastAsia" w:ascii="宋体" w:hAnsi="宋体"/>
          <w:sz w:val="24"/>
        </w:rPr>
        <w:t>以“学生为中心”开展工作，从学校和教师面临的热点和难点问题入手，找准“三分式”人才培养改革中的关键问题，有的放矢、重点突破，着力破除现行体制机制障碍，着力解决高素质应用型人才培养过程中隐藏的深层次矛盾，确保改革工作全面、有力、有序推进，并力求实效。</w:t>
      </w:r>
    </w:p>
    <w:p>
      <w:pPr>
        <w:spacing w:line="360" w:lineRule="auto"/>
        <w:ind w:firstLine="482" w:firstLineChars="200"/>
        <w:outlineLvl w:val="0"/>
        <w:rPr>
          <w:rFonts w:ascii="宋体" w:hAnsi="宋体"/>
          <w:sz w:val="24"/>
        </w:rPr>
      </w:pPr>
      <w:r>
        <w:rPr>
          <w:rFonts w:hint="eastAsia" w:ascii="宋体" w:hAnsi="宋体"/>
          <w:b/>
          <w:sz w:val="24"/>
        </w:rPr>
        <w:t>（三）统筹规划，试点先行原则。</w:t>
      </w:r>
      <w:r>
        <w:rPr>
          <w:rFonts w:hint="eastAsia" w:ascii="宋体" w:hAnsi="宋体"/>
          <w:sz w:val="24"/>
        </w:rPr>
        <w:t>“三分式”人才培养改革是一项复杂的系统性工程，要科学规划、统筹安排、分步实施。为充分发挥学校、教师、学生以及教学管理人员的主动性、积极性和创造性，要着力于机构设置优化、部门协调推进、教师管理改革、绩效分配方式优化等方面的改革，鼓励试点二级学院紧密结合实际，积极探索，勇于创新，大胆试验，总结提高，为全校改革形成成功的示范效应。</w:t>
      </w:r>
    </w:p>
    <w:p>
      <w:pPr>
        <w:spacing w:line="360" w:lineRule="auto"/>
        <w:ind w:firstLine="482" w:firstLineChars="200"/>
        <w:outlineLvl w:val="0"/>
        <w:rPr>
          <w:rFonts w:ascii="宋体" w:hAnsi="宋体" w:cs="宋体"/>
          <w:b/>
          <w:bCs/>
          <w:kern w:val="0"/>
          <w:sz w:val="24"/>
        </w:rPr>
      </w:pPr>
      <w:r>
        <w:rPr>
          <w:rFonts w:hint="eastAsia" w:ascii="宋体" w:hAnsi="宋体" w:cs="宋体"/>
          <w:b/>
          <w:bCs/>
          <w:kern w:val="0"/>
          <w:sz w:val="24"/>
        </w:rPr>
        <w:t>四、主要任务</w:t>
      </w:r>
    </w:p>
    <w:p>
      <w:pPr>
        <w:spacing w:line="360" w:lineRule="auto"/>
        <w:ind w:firstLine="482" w:firstLineChars="200"/>
        <w:outlineLvl w:val="0"/>
        <w:rPr>
          <w:rFonts w:ascii="宋体" w:hAnsi="宋体"/>
          <w:b/>
          <w:sz w:val="24"/>
        </w:rPr>
      </w:pPr>
      <w:r>
        <w:rPr>
          <w:rFonts w:hint="eastAsia" w:ascii="宋体" w:hAnsi="宋体"/>
          <w:b/>
          <w:sz w:val="24"/>
        </w:rPr>
        <w:t>（一）明晰高素质应用型人才实质</w:t>
      </w:r>
    </w:p>
    <w:p>
      <w:pPr>
        <w:spacing w:line="360" w:lineRule="auto"/>
        <w:ind w:firstLine="480" w:firstLineChars="200"/>
        <w:outlineLvl w:val="0"/>
        <w:rPr>
          <w:rFonts w:ascii="宋体" w:hAnsi="宋体"/>
          <w:sz w:val="24"/>
        </w:rPr>
      </w:pPr>
      <w:r>
        <w:rPr>
          <w:rFonts w:hint="eastAsia" w:ascii="宋体" w:hAnsi="宋体"/>
          <w:sz w:val="24"/>
        </w:rPr>
        <w:t>学校人才培养总目标是培养“具有真诚的爱心、高度的责任心、执着的进取心，具有较强的实践操作能力、沟通协调能力、创新创业能力，具有良好的人文精神、科学精神、批判精神”的高素质应用型人才（简称“三心、三能、三精神”）。结合新时代发展需求，更新教育教学理念，加强教学条件建设，适时修订、完善人才培养指导性意见，构建更加科学、合理的课程结构，形成满足创造性、应用型高素质人才的培养的教育模式，促进学生个性的全面发展。</w:t>
      </w:r>
    </w:p>
    <w:p>
      <w:pPr>
        <w:spacing w:line="360" w:lineRule="auto"/>
        <w:ind w:firstLine="482" w:firstLineChars="200"/>
        <w:outlineLvl w:val="0"/>
        <w:rPr>
          <w:rFonts w:ascii="宋体" w:hAnsi="宋体"/>
          <w:b/>
          <w:sz w:val="24"/>
        </w:rPr>
      </w:pPr>
      <w:r>
        <w:rPr>
          <w:rFonts w:hint="eastAsia" w:ascii="宋体" w:hAnsi="宋体"/>
          <w:b/>
          <w:sz w:val="24"/>
        </w:rPr>
        <w:t>（二）挖掘“三分式”人才培养的内涵</w:t>
      </w:r>
    </w:p>
    <w:p>
      <w:pPr>
        <w:spacing w:line="360" w:lineRule="auto"/>
        <w:ind w:firstLine="480" w:firstLineChars="200"/>
        <w:outlineLvl w:val="0"/>
        <w:rPr>
          <w:rFonts w:ascii="宋体" w:hAnsi="宋体"/>
          <w:sz w:val="24"/>
        </w:rPr>
      </w:pPr>
      <w:r>
        <w:rPr>
          <w:rFonts w:hint="eastAsia" w:ascii="宋体" w:hAnsi="宋体"/>
          <w:sz w:val="24"/>
        </w:rPr>
        <w:t>“三分式”人才培养是指：“分类别指导、分阶段培养、分模块推进”的人才培养方式。</w:t>
      </w:r>
    </w:p>
    <w:p>
      <w:pPr>
        <w:spacing w:line="360" w:lineRule="auto"/>
        <w:ind w:firstLine="480" w:firstLineChars="200"/>
        <w:outlineLvl w:val="0"/>
        <w:rPr>
          <w:rFonts w:ascii="宋体" w:hAnsi="宋体"/>
          <w:sz w:val="24"/>
        </w:rPr>
      </w:pPr>
      <w:r>
        <w:rPr>
          <w:rFonts w:hint="eastAsia" w:ascii="宋体" w:hAnsi="宋体"/>
          <w:sz w:val="24"/>
        </w:rPr>
        <w:t>分类别指导，服务个性成长。依据社会行业发展需求，构建相应人才培养类别（深造类、就业类和创业类）各自顺畅的通道，并确立相应的人才核心素养指标，主要解决培养什么人的问题。学生根据个人需求和发展定位，在学校指导下并自主选择人才培养类别通道学习，并且可在不同培养类别通道之间自由流动。</w:t>
      </w:r>
    </w:p>
    <w:p>
      <w:pPr>
        <w:spacing w:line="360" w:lineRule="auto"/>
        <w:ind w:firstLine="480" w:firstLineChars="200"/>
        <w:outlineLvl w:val="0"/>
        <w:rPr>
          <w:rFonts w:ascii="宋体" w:hAnsi="宋体"/>
          <w:sz w:val="24"/>
        </w:rPr>
      </w:pPr>
      <w:r>
        <w:rPr>
          <w:rFonts w:hint="eastAsia" w:ascii="宋体" w:hAnsi="宋体"/>
          <w:sz w:val="24"/>
        </w:rPr>
        <w:t>分阶段培养，实施“121”模式(三段式)。依据专业核心素养指标，确立课程核心素养指标，并选择和设计有效的培养途径与措施，解决什么时段教（学）的问题。第一个阶段（第1学年即第一个“1”）为通识教育阶段，第二阶段（第2～3学年即“2”）为专业教育阶段，第三阶段（第4学年即第二个“1”）为能力提升阶段。</w:t>
      </w:r>
    </w:p>
    <w:p>
      <w:pPr>
        <w:spacing w:line="360" w:lineRule="auto"/>
        <w:ind w:firstLine="480" w:firstLineChars="200"/>
        <w:outlineLvl w:val="0"/>
        <w:rPr>
          <w:rFonts w:ascii="宋体" w:hAnsi="宋体"/>
          <w:sz w:val="24"/>
        </w:rPr>
      </w:pPr>
      <w:r>
        <w:rPr>
          <w:rFonts w:hint="eastAsia" w:ascii="宋体" w:hAnsi="宋体"/>
          <w:sz w:val="24"/>
        </w:rPr>
        <w:t>分模块推进，提高教学效率。依据人才核心素养指标，确立专业核心素养指标，并由此构建相应的专业课程模块体系，解决教什么（学什么）、怎么教（怎么学）与如何评价（评什么，怎么评，怎么用）的问题。根据深造类、就业类、创业类这三种不同培养通道确立不同的人才核心素养指标，制订相应的人才培养方案，并构建以能力培养为核心的“B（Basic基本模块）+A（Ability能力提升模块）+O（Overseas Study 出国留学模块）”（简称“BAO”结构，下同）三种课程模块构成的培养体系，学生在相应的模块中选择课程，培养相应能力。</w:t>
      </w:r>
    </w:p>
    <w:p>
      <w:pPr>
        <w:spacing w:line="360" w:lineRule="auto"/>
        <w:ind w:firstLine="482" w:firstLineChars="200"/>
        <w:outlineLvl w:val="0"/>
        <w:rPr>
          <w:rFonts w:ascii="宋体" w:hAnsi="宋体"/>
          <w:b/>
          <w:sz w:val="24"/>
        </w:rPr>
      </w:pPr>
      <w:r>
        <w:rPr>
          <w:rFonts w:hint="eastAsia" w:ascii="宋体" w:hAnsi="宋体"/>
          <w:b/>
          <w:sz w:val="24"/>
        </w:rPr>
        <w:t>（三）构建“三分式”人才培养体系</w:t>
      </w:r>
    </w:p>
    <w:p>
      <w:pPr>
        <w:spacing w:line="360" w:lineRule="auto"/>
        <w:ind w:firstLine="480" w:firstLineChars="200"/>
        <w:outlineLvl w:val="0"/>
        <w:rPr>
          <w:rFonts w:ascii="宋体" w:hAnsi="宋体"/>
          <w:sz w:val="24"/>
        </w:rPr>
      </w:pPr>
      <w:r>
        <w:rPr>
          <w:rFonts w:hint="eastAsia" w:ascii="宋体" w:hAnsi="宋体"/>
          <w:sz w:val="24"/>
        </w:rPr>
        <w:t>根据经济社会发展需要，确定深造类、就业类、创业类人才的应具有的核心素养指标，构建相应的课程体系、教学管理、实践等各环节内容，建立三类人才培养通道的分流引导和互动机制，形成模块化的人才培养的实施方案。</w:t>
      </w:r>
    </w:p>
    <w:p>
      <w:pPr>
        <w:spacing w:line="360" w:lineRule="auto"/>
        <w:ind w:firstLine="482" w:firstLineChars="200"/>
        <w:outlineLvl w:val="0"/>
        <w:rPr>
          <w:rFonts w:ascii="宋体" w:hAnsi="宋体"/>
          <w:b/>
          <w:sz w:val="24"/>
        </w:rPr>
      </w:pPr>
      <w:r>
        <w:rPr>
          <w:rFonts w:hint="eastAsia" w:ascii="宋体" w:hAnsi="宋体"/>
          <w:b/>
          <w:sz w:val="24"/>
        </w:rPr>
        <w:t>（四）推进学校教师分类评价</w:t>
      </w:r>
    </w:p>
    <w:p>
      <w:pPr>
        <w:spacing w:line="360" w:lineRule="auto"/>
        <w:ind w:firstLine="480" w:firstLineChars="200"/>
        <w:outlineLvl w:val="0"/>
        <w:rPr>
          <w:rFonts w:ascii="宋体" w:hAnsi="宋体"/>
          <w:sz w:val="24"/>
        </w:rPr>
      </w:pPr>
      <w:r>
        <w:rPr>
          <w:rFonts w:hint="eastAsia" w:ascii="宋体" w:hAnsi="宋体"/>
          <w:sz w:val="24"/>
        </w:rPr>
        <w:t>改革教师聘任制度和评价办法，促使更多教师成为既具有较高的理论水平和教学能力、又具有较强的实践能力的“双师双能型”教师，并在绩效考核、职务（职称）评聘、干部选用与聘用等方面向其倾斜。聘用政府、行业、企业的优秀管理人员和技术人员进入兼职教师队伍，重点打造三支教师队伍：一是以理论为主的“双师双能型”教师队伍，二是以实践为主的“双师双能型”教师队伍，三是以立德为主的“双师双能型”教师队伍。</w:t>
      </w:r>
    </w:p>
    <w:p>
      <w:pPr>
        <w:spacing w:line="360" w:lineRule="auto"/>
        <w:ind w:firstLine="480" w:firstLineChars="200"/>
        <w:outlineLvl w:val="0"/>
        <w:rPr>
          <w:rFonts w:ascii="宋体" w:hAnsi="宋体"/>
          <w:sz w:val="24"/>
        </w:rPr>
      </w:pPr>
      <w:r>
        <w:rPr>
          <w:rFonts w:hint="eastAsia" w:ascii="宋体" w:hAnsi="宋体"/>
          <w:sz w:val="24"/>
        </w:rPr>
        <w:t>根据教育部《关于深化高校教师考核评价制度改革的指导意见》（教师〔2016〕7号），结合学校实际，坚持以师德师风作为教师素质评价的第一标准，开展教师分类考核评价，尊重学科差异，推进分类管理，坚持质量导向，不拘一格选拔人才。</w:t>
      </w:r>
    </w:p>
    <w:p>
      <w:pPr>
        <w:spacing w:line="360" w:lineRule="auto"/>
        <w:ind w:firstLine="482" w:firstLineChars="200"/>
        <w:outlineLvl w:val="0"/>
        <w:rPr>
          <w:rFonts w:ascii="宋体" w:hAnsi="宋体"/>
          <w:b/>
          <w:sz w:val="24"/>
        </w:rPr>
      </w:pPr>
      <w:r>
        <w:rPr>
          <w:rFonts w:hint="eastAsia" w:ascii="宋体" w:hAnsi="宋体"/>
          <w:b/>
          <w:sz w:val="24"/>
        </w:rPr>
        <w:t>（五）构建完善的创新创业教育体系</w:t>
      </w:r>
    </w:p>
    <w:p>
      <w:pPr>
        <w:spacing w:line="360" w:lineRule="auto"/>
        <w:ind w:firstLine="480" w:firstLineChars="200"/>
        <w:outlineLvl w:val="0"/>
        <w:rPr>
          <w:rFonts w:ascii="宋体" w:hAnsi="宋体"/>
          <w:sz w:val="24"/>
        </w:rPr>
      </w:pPr>
      <w:r>
        <w:rPr>
          <w:rFonts w:hint="eastAsia" w:ascii="宋体" w:hAnsi="宋体"/>
          <w:sz w:val="24"/>
        </w:rPr>
        <w:t>1.营造创新为主线的校园文化氛围。一是围绕专业开展专业技能创新竞赛活动；二是积极邀请科技专家、知名学者、企业精英、创业先锋等，举办创新创业讲堂，激发大学生创新创业意识；三是利用报刊、广播、网络等形式做好创新创业宣传，引导学生树立科学的创新观、创业观、成才观。四是建立创新创业类学生社团，大力支持围绕学科专业开展科技创新类社团的发展建设。</w:t>
      </w:r>
    </w:p>
    <w:p>
      <w:pPr>
        <w:spacing w:line="360" w:lineRule="auto"/>
        <w:ind w:firstLine="480" w:firstLineChars="200"/>
        <w:outlineLvl w:val="0"/>
        <w:rPr>
          <w:rFonts w:ascii="宋体" w:hAnsi="宋体"/>
          <w:sz w:val="24"/>
        </w:rPr>
      </w:pPr>
      <w:r>
        <w:rPr>
          <w:rFonts w:hint="eastAsia" w:ascii="宋体" w:hAnsi="宋体"/>
          <w:sz w:val="24"/>
        </w:rPr>
        <w:t>2.进一步完善创新创业教育课程体系。建立课堂教学、俱乐部、创新创业训练、创新创业竞赛、创业实践、指导帮扶、文化引领融为一体的高校创新创业教育体系，努力实现创新创业教育与专业教育的有机融合，实现“由注重知识传授向注重创新精神、创业意识和创新创业能力培养的转变，由面向有创新创业意愿的学生向全体学生的转变。”</w:t>
      </w:r>
    </w:p>
    <w:p>
      <w:pPr>
        <w:spacing w:line="360" w:lineRule="auto"/>
        <w:ind w:firstLine="480" w:firstLineChars="200"/>
        <w:outlineLvl w:val="0"/>
        <w:rPr>
          <w:rFonts w:ascii="宋体" w:hAnsi="宋体"/>
          <w:sz w:val="24"/>
        </w:rPr>
      </w:pPr>
      <w:r>
        <w:rPr>
          <w:rFonts w:hint="eastAsia" w:ascii="宋体" w:hAnsi="宋体"/>
          <w:sz w:val="24"/>
        </w:rPr>
        <w:t>3. 塑造创新创业榜样文化。一是选树创新创业典型，营造崇尚创新、支持创业的良好校园文化氛围，大力宣传创新创业典型先进事迹，发挥大学生创新创业典型的引领作用。二是建立创新创业先进个人巡回报告制度。让学校创新创业竞赛获奖者、创业项目成功孵化者到各学院开展巡回报告。三是在创新创业文化中心建立创新创业优秀人才档案和展示专栏，累积增加，长期留存。</w:t>
      </w:r>
    </w:p>
    <w:p>
      <w:pPr>
        <w:spacing w:line="360" w:lineRule="auto"/>
        <w:ind w:firstLine="482" w:firstLineChars="200"/>
        <w:outlineLvl w:val="0"/>
        <w:rPr>
          <w:rFonts w:ascii="宋体" w:hAnsi="宋体"/>
          <w:b/>
          <w:sz w:val="24"/>
        </w:rPr>
      </w:pPr>
      <w:r>
        <w:rPr>
          <w:rFonts w:hint="eastAsia" w:ascii="宋体" w:hAnsi="宋体"/>
          <w:b/>
          <w:sz w:val="24"/>
        </w:rPr>
        <w:t>（六）推动协同育人</w:t>
      </w:r>
    </w:p>
    <w:p>
      <w:pPr>
        <w:spacing w:line="360" w:lineRule="auto"/>
        <w:ind w:firstLine="482" w:firstLineChars="200"/>
        <w:outlineLvl w:val="0"/>
        <w:rPr>
          <w:rFonts w:ascii="宋体" w:hAnsi="宋体"/>
          <w:sz w:val="24"/>
        </w:rPr>
      </w:pPr>
      <w:r>
        <w:rPr>
          <w:rFonts w:hint="eastAsia" w:ascii="宋体" w:hAnsi="宋体"/>
          <w:b/>
          <w:sz w:val="24"/>
        </w:rPr>
        <w:t>1.基于校地双发展的协同育人。</w:t>
      </w:r>
      <w:r>
        <w:rPr>
          <w:rFonts w:hint="eastAsia" w:ascii="宋体" w:hAnsi="宋体"/>
          <w:sz w:val="24"/>
        </w:rPr>
        <w:t>坚持依托地方产业建专业、依托产业链建专业群，整合学校科研力量和资源，围绕地方产业优化转型升级和区域经济社会发展重大需求，积极探索校地协同创新模式，形成人才培养和社会服务相互促进、良性互动、快速发展的新机制、新方法。加强技术创新平台建设，与地方深度合作，建设技术研发中心、工程技术中心、研究所、重点实验室等，强化技术集成与创新，主动承担地方重大科研课题和科技开发、转化项目，大力发展校办科技产业，积极促进学校科研成果、新产品、新技术的转化，提升学校科技服务地方经济社会发展的能力。鼓励学生开展科学研究、科研创新和社会实践，让学生在校地合作中成长。</w:t>
      </w:r>
    </w:p>
    <w:p>
      <w:pPr>
        <w:spacing w:line="360" w:lineRule="auto"/>
        <w:ind w:firstLine="482" w:firstLineChars="200"/>
        <w:outlineLvl w:val="0"/>
        <w:rPr>
          <w:rFonts w:ascii="宋体" w:hAnsi="宋体"/>
          <w:b/>
          <w:sz w:val="24"/>
        </w:rPr>
      </w:pPr>
      <w:r>
        <w:rPr>
          <w:rFonts w:hint="eastAsia" w:ascii="宋体" w:hAnsi="宋体"/>
          <w:b/>
          <w:sz w:val="24"/>
        </w:rPr>
        <w:t>2.基于第一、二课堂的协同育人</w:t>
      </w:r>
    </w:p>
    <w:p>
      <w:pPr>
        <w:spacing w:line="360" w:lineRule="auto"/>
        <w:ind w:firstLine="480" w:firstLineChars="200"/>
        <w:outlineLvl w:val="0"/>
        <w:rPr>
          <w:rFonts w:ascii="宋体" w:hAnsi="宋体"/>
          <w:sz w:val="24"/>
        </w:rPr>
      </w:pPr>
      <w:r>
        <w:rPr>
          <w:rFonts w:hint="eastAsia" w:ascii="宋体" w:hAnsi="宋体"/>
          <w:sz w:val="24"/>
        </w:rPr>
        <w:t xml:space="preserve">（1）第一课堂和第二课堂的有机融合。构建与第一课堂相配套的第二课堂课程体系，促进课内向课外延伸、校内向校外延伸，形成第一课堂教学育人、第二课堂活动育人和校外实践育人三大平台有效联动，因材施教，适应学生个性的全面发展，使第二课堂与第一课堂有机融合，真正达到育人效果。 </w:t>
      </w:r>
    </w:p>
    <w:p>
      <w:pPr>
        <w:spacing w:line="360" w:lineRule="auto"/>
        <w:ind w:firstLine="480" w:firstLineChars="200"/>
        <w:outlineLvl w:val="0"/>
        <w:rPr>
          <w:rFonts w:ascii="宋体" w:hAnsi="宋体"/>
          <w:sz w:val="24"/>
        </w:rPr>
      </w:pPr>
      <w:r>
        <w:rPr>
          <w:rFonts w:hint="eastAsia" w:ascii="宋体" w:hAnsi="宋体"/>
          <w:sz w:val="24"/>
        </w:rPr>
        <w:t>（2）统筹规划德育实践教育。以《高校思想政治工作质量提升工程实施纲要》为引领，遵循思想政治教育规律，结合学生实际，深入推进德育实践教学改革，分类制订德育实践教学标准，全方位打造以听、说、读、写、画、拍、看、问、演、游为主要内容的思想政治理论课和课程思政实践教学活动模式；全空间、分阶段系统规划囊括思想政治及道德素养、道德品质素养、科学人文素养、法纪素养、心理素养五大模块的日常思想政治教育体系；打造思想政治理论课、思政实践教学和日常思想政治教育“纵向课堂与横向活动相融合”的德育实践育人体系。</w:t>
      </w:r>
    </w:p>
    <w:p>
      <w:pPr>
        <w:spacing w:line="360" w:lineRule="auto"/>
        <w:ind w:firstLine="480" w:firstLineChars="200"/>
        <w:outlineLvl w:val="0"/>
        <w:rPr>
          <w:rFonts w:ascii="宋体" w:hAnsi="宋体"/>
          <w:sz w:val="24"/>
        </w:rPr>
      </w:pPr>
      <w:r>
        <w:rPr>
          <w:rFonts w:hint="eastAsia" w:ascii="宋体" w:hAnsi="宋体"/>
          <w:sz w:val="24"/>
        </w:rPr>
        <w:t>（3）实施学生发展协同计划。完善资助工作体系和心理健康服务体系，强化“学校—家庭—医院”“三位一体”的心理转介模式，完善基于校园一卡通数据分析、家访和谈心谈话的家庭贫困精准认定办法。实施心理健康教育示范中心建设、量身定制能力资助计划、学生职业生涯规划指导整体联动。</w:t>
      </w:r>
    </w:p>
    <w:p>
      <w:pPr>
        <w:spacing w:line="360" w:lineRule="auto"/>
        <w:ind w:firstLine="482" w:firstLineChars="200"/>
        <w:outlineLvl w:val="0"/>
        <w:rPr>
          <w:rFonts w:ascii="宋体" w:hAnsi="宋体" w:cs="宋体"/>
          <w:b/>
          <w:bCs/>
          <w:kern w:val="0"/>
          <w:sz w:val="24"/>
        </w:rPr>
      </w:pPr>
      <w:r>
        <w:rPr>
          <w:rFonts w:hint="eastAsia" w:ascii="宋体" w:hAnsi="宋体" w:cs="宋体"/>
          <w:b/>
          <w:bCs/>
          <w:kern w:val="0"/>
          <w:sz w:val="24"/>
        </w:rPr>
        <w:t>五、保障措施</w:t>
      </w:r>
    </w:p>
    <w:p>
      <w:pPr>
        <w:spacing w:line="360" w:lineRule="auto"/>
        <w:ind w:firstLine="482" w:firstLineChars="200"/>
        <w:outlineLvl w:val="0"/>
        <w:rPr>
          <w:rFonts w:ascii="宋体" w:hAnsi="宋体"/>
          <w:sz w:val="24"/>
        </w:rPr>
      </w:pPr>
      <w:r>
        <w:rPr>
          <w:rFonts w:hint="eastAsia" w:ascii="宋体" w:hAnsi="宋体"/>
          <w:b/>
          <w:sz w:val="24"/>
        </w:rPr>
        <w:t>（一）提高认识，转变观念，筑牢人才培养第一要务。</w:t>
      </w:r>
      <w:r>
        <w:rPr>
          <w:rFonts w:hint="eastAsia" w:ascii="宋体" w:hAnsi="宋体"/>
          <w:sz w:val="24"/>
        </w:rPr>
        <w:t>人才培养是大学的本质职能。强化“学生中心、因材施教、个性发展”，推进“本科教育”回归本分、回归常识、回归初心、回归梦想。牢固树立“一切为了学生，为了学生的一切，为了一切的学生”的教育理念，健全综合育人体系，规范教育教学管理，调动全校资源服从于人才培养的需要，服务于学生的成长成才，不断增强学校人才培养工作对经济社会发展的适应度。组织全校师生员工认真学习、研讨涉及高等学校教育综合改革、体制机制改革、创新创业及大学生德育教育的各级各类文件，提高认识；聘请国内外专家到校，围绕教育体制机制改革的经验和做法进行专题培训，形成共识；在全校范围内广泛、宣传和解读“三分式”人才培养改革的目的、内涵和实施路径，使“学生中心、因材施教、个性发展”贯穿于学校工作各个环节并形成习惯。</w:t>
      </w:r>
    </w:p>
    <w:p>
      <w:pPr>
        <w:spacing w:line="360" w:lineRule="auto"/>
        <w:ind w:firstLine="482" w:firstLineChars="200"/>
        <w:outlineLvl w:val="0"/>
        <w:rPr>
          <w:rFonts w:ascii="宋体" w:hAnsi="宋体"/>
          <w:sz w:val="24"/>
        </w:rPr>
      </w:pPr>
      <w:r>
        <w:rPr>
          <w:rFonts w:hint="eastAsia" w:ascii="宋体" w:hAnsi="宋体"/>
          <w:b/>
          <w:sz w:val="24"/>
        </w:rPr>
        <w:t>（二）加强组织领导，优化机构设置。</w:t>
      </w:r>
      <w:r>
        <w:rPr>
          <w:rFonts w:hint="eastAsia" w:ascii="宋体" w:hAnsi="宋体"/>
          <w:sz w:val="24"/>
        </w:rPr>
        <w:t>调整学校综合改革领导小组，学校党委书记和校长担任组长，其余校领导任副组长，成员扩充至二级学院党政主要负责人、相关职能部门主要负责人。领导小组下设教育教学改革、岗位绩效与目标考核改革、干部人事改革三个专项工作组和办公室，办公室挂靠在发展规划处。领导小组负责统筹协调学校教育体制机制改革的整体设计、政策制定等工作，教育教学改革工作组负责推进并实施教育教学方面的改革，岗位绩效与目标考核改革工作组负责推进并组织实施分类评价、岗位绩效及目标考核方面的改革，干部人事改革工作组负责推进并组织实施干部人事方面的改革，日常工作由学校综合改革办公室负责。适时进行专业整合和机构调整，适应新时代学校和社会经济发展需求；适时成立教师教育学院，加强基础教育研究、引领基础教育发展；适时成立创新创业学院，统筹推进创新创业教育和学科竞赛工作。</w:t>
      </w:r>
    </w:p>
    <w:p>
      <w:pPr>
        <w:spacing w:line="360" w:lineRule="auto"/>
        <w:ind w:firstLine="482" w:firstLineChars="200"/>
        <w:outlineLvl w:val="0"/>
        <w:rPr>
          <w:rFonts w:ascii="宋体" w:hAnsi="宋体"/>
          <w:sz w:val="24"/>
        </w:rPr>
      </w:pPr>
      <w:r>
        <w:rPr>
          <w:rFonts w:hint="eastAsia" w:ascii="宋体" w:hAnsi="宋体"/>
          <w:b/>
          <w:sz w:val="24"/>
        </w:rPr>
        <w:t>（三）加强制度建设，建立激励机制。</w:t>
      </w:r>
      <w:r>
        <w:rPr>
          <w:rFonts w:hint="eastAsia" w:ascii="宋体" w:hAnsi="宋体"/>
          <w:sz w:val="24"/>
        </w:rPr>
        <w:t>修订师资队伍建设管理办法，强化专业教师队伍、创新创业教师队伍和德育实践教育教师队伍建设，将应用型高水平师资纳入高层次人才队伍建设和管理，以特殊政策吸引企业技能型人才来校任教，进一步优化师资队伍结构。实施提升教师应用能力工程，加强青年骨干教师到党政机关、企事业单位实践锻炼力度。</w:t>
      </w:r>
    </w:p>
    <w:p>
      <w:pPr>
        <w:spacing w:line="360" w:lineRule="auto"/>
        <w:ind w:firstLine="480" w:firstLineChars="200"/>
        <w:outlineLvl w:val="0"/>
        <w:rPr>
          <w:rFonts w:ascii="宋体" w:hAnsi="宋体"/>
          <w:sz w:val="24"/>
        </w:rPr>
      </w:pPr>
      <w:r>
        <w:rPr>
          <w:rFonts w:hint="eastAsia" w:ascii="宋体" w:hAnsi="宋体"/>
          <w:sz w:val="24"/>
        </w:rPr>
        <w:t>鼓励校内各单位、教职员工围绕“三分式”人才培养改革开展实践探索，建好“师资团队、管理团队和服务团队”三个团队。改革教师聘任、职称晋升政策，建立教师分类评价制度，激励教师开展创新创业教育、应用创新研究及成果转化。</w:t>
      </w:r>
    </w:p>
    <w:p>
      <w:pPr>
        <w:spacing w:line="360" w:lineRule="auto"/>
        <w:ind w:firstLine="482" w:firstLineChars="200"/>
        <w:outlineLvl w:val="0"/>
        <w:rPr>
          <w:rFonts w:ascii="宋体" w:hAnsi="宋体"/>
          <w:sz w:val="24"/>
        </w:rPr>
      </w:pPr>
      <w:r>
        <w:rPr>
          <w:rFonts w:hint="eastAsia" w:ascii="宋体" w:hAnsi="宋体"/>
          <w:b/>
          <w:sz w:val="24"/>
        </w:rPr>
        <w:t>（四）设立专项经费，加大改革工作的推进力度。</w:t>
      </w:r>
      <w:r>
        <w:rPr>
          <w:rFonts w:hint="eastAsia" w:ascii="宋体" w:hAnsi="宋体"/>
          <w:sz w:val="24"/>
        </w:rPr>
        <w:t>学校设立人才培养改革专项经费，每年投入不低于500万元，加大对”三分式”人才培养改革工作的推进，重点用于试点学院因改革试点而增加的绩效支出、专业特色和学科优势建设、当地产业升级重点专业（集群）建设，高水平“双师双能型”教师队伍建设，校企共建技术转移和创新中心、工程实践中心、先进技术实习实训基地等基础设施建设。</w:t>
      </w:r>
    </w:p>
    <w:p>
      <w:pPr>
        <w:spacing w:line="360" w:lineRule="auto"/>
        <w:ind w:firstLine="482" w:firstLineChars="200"/>
        <w:outlineLvl w:val="0"/>
        <w:rPr>
          <w:rFonts w:ascii="宋体" w:hAnsi="宋体"/>
          <w:sz w:val="24"/>
        </w:rPr>
      </w:pPr>
      <w:r>
        <w:rPr>
          <w:rFonts w:hint="eastAsia" w:ascii="宋体" w:hAnsi="宋体"/>
          <w:b/>
          <w:sz w:val="24"/>
        </w:rPr>
        <w:t>（五）搭建合作平台，争取外部支持。</w:t>
      </w:r>
      <w:r>
        <w:rPr>
          <w:rFonts w:hint="eastAsia" w:ascii="宋体" w:hAnsi="宋体"/>
          <w:sz w:val="24"/>
        </w:rPr>
        <w:t>加强校企校地校校沟通协调，积极争取内江市委市政府在高层次人才引进、搭建校企合作平台、促进毕业生就业创业等方面的资金扶持和政策倾斜。争取行业企业及其他社会力量办学，鼓励和支持行业、企业以提高资金、技术、场地等形式参与学校办学，共享办学效益。</w:t>
      </w:r>
    </w:p>
    <w:p>
      <w:pPr>
        <w:spacing w:line="360" w:lineRule="auto"/>
        <w:ind w:firstLine="482" w:firstLineChars="200"/>
        <w:outlineLvl w:val="0"/>
        <w:rPr>
          <w:rFonts w:ascii="宋体" w:hAnsi="宋体"/>
          <w:sz w:val="24"/>
        </w:rPr>
      </w:pPr>
      <w:r>
        <w:rPr>
          <w:rFonts w:hint="eastAsia" w:ascii="宋体" w:hAnsi="宋体"/>
          <w:b/>
          <w:sz w:val="24"/>
        </w:rPr>
        <w:t>（六）探索分类拨款制度，促进学校资源的优化配置。</w:t>
      </w:r>
      <w:r>
        <w:rPr>
          <w:rFonts w:hint="eastAsia" w:ascii="宋体" w:hAnsi="宋体"/>
          <w:sz w:val="24"/>
        </w:rPr>
        <w:t>资源配置上，学校基于优先目标优先配置原则，重点支持技术性强、社会亟需和优势特色专业的建设和发展。探索建立符合应用型高校特点的经费支出绩效评价制度。根据专业评估和认证结果等，探索试行差异化经费支持政策。各级各类专项资金对试点专业予以倾斜支持。</w:t>
      </w:r>
    </w:p>
    <w:p>
      <w:pPr>
        <w:spacing w:line="360" w:lineRule="auto"/>
        <w:ind w:firstLine="482" w:firstLineChars="200"/>
        <w:outlineLvl w:val="0"/>
        <w:rPr>
          <w:rFonts w:ascii="宋体" w:hAnsi="宋体"/>
          <w:sz w:val="24"/>
        </w:rPr>
      </w:pPr>
      <w:r>
        <w:rPr>
          <w:rFonts w:hint="eastAsia" w:ascii="宋体" w:hAnsi="宋体"/>
          <w:b/>
          <w:sz w:val="24"/>
        </w:rPr>
        <w:t>（七）强化督察检查，确保各项改革举措落到实处。</w:t>
      </w:r>
      <w:r>
        <w:rPr>
          <w:rFonts w:hint="eastAsia" w:ascii="宋体" w:hAnsi="宋体"/>
          <w:sz w:val="24"/>
        </w:rPr>
        <w:t>建立目标责任制，明确各项改革措施的分管领导、责任单位与完成时间表，确保各项改革举措的落实。建立监督检查机制和工作考评、奖励制度，评估处和综改办负责监督、检查改革实施情况。同时，要按照改革的时间表和路线图，跟踪督办、适时评估、及时总结、定期通报，及时分析查找存在的问题和原因，对于出现的问题及时进行妥善处理和动态调整，确保各项改革举措落到实处，取得实效。</w:t>
      </w:r>
    </w:p>
    <w:p>
      <w:pPr>
        <w:spacing w:line="360" w:lineRule="auto"/>
        <w:ind w:firstLine="482" w:firstLineChars="200"/>
        <w:outlineLvl w:val="0"/>
        <w:rPr>
          <w:rFonts w:ascii="宋体" w:hAnsi="宋体"/>
          <w:sz w:val="24"/>
        </w:rPr>
      </w:pPr>
      <w:r>
        <w:rPr>
          <w:rFonts w:hint="eastAsia" w:ascii="宋体" w:hAnsi="宋体"/>
          <w:b/>
          <w:sz w:val="24"/>
        </w:rPr>
        <w:t>（八）加强改革实践经验的总结与研究，确保改革的顺利推进并及时纠偏。</w:t>
      </w:r>
      <w:r>
        <w:rPr>
          <w:rFonts w:hint="eastAsia" w:ascii="宋体" w:hAnsi="宋体"/>
          <w:sz w:val="24"/>
        </w:rPr>
        <w:t>“三分式”人才培养改革是学校在新的发展阶段为进一步提升办学质量与办学效益而开展的大胆探索。鼓励学校相关职能部门与试点单位相关教职员工大胆开展相关改革的校本研究，成功经验要通过研究成果的形式以提炼、总结和对外宣传，不足之处也需深刻反思并寻求更优解决方案。对于“三分式”人才培养改革的优秀研究成果设立专项奖励予以支持，在全校范围内形成对本次改革的重视、研究与更好的实践。</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ordWrap w:val="0"/>
        <w:spacing w:line="360" w:lineRule="auto"/>
        <w:jc w:val="right"/>
        <w:rPr>
          <w:rFonts w:ascii="宋体" w:hAnsi="宋体"/>
          <w:sz w:val="24"/>
        </w:rPr>
      </w:pPr>
      <w:r>
        <w:rPr>
          <w:rFonts w:hint="eastAsia" w:ascii="宋体" w:hAnsi="宋体"/>
          <w:sz w:val="24"/>
        </w:rPr>
        <w:t xml:space="preserve">2018年9月20日         </w:t>
      </w:r>
    </w:p>
    <w:p>
      <w:pPr>
        <w:spacing w:line="360" w:lineRule="auto"/>
        <w:rPr>
          <w:rFonts w:ascii="宋体" w:hAnsi="宋体"/>
          <w:sz w:val="24"/>
        </w:rPr>
      </w:pPr>
    </w:p>
    <w:p>
      <w:pPr>
        <w:spacing w:line="360" w:lineRule="auto"/>
        <w:rPr>
          <w:rFonts w:ascii="宋体" w:hAnsi="宋体"/>
          <w:sz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内江师范学院</w:t>
      </w: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“三分式”人才培养改革实施方案（试行）</w:t>
      </w:r>
    </w:p>
    <w:p>
      <w:pPr>
        <w:widowControl/>
        <w:spacing w:after="156" w:afterLines="50" w:line="560" w:lineRule="exact"/>
        <w:jc w:val="center"/>
        <w:rPr>
          <w:rFonts w:ascii="宋体" w:hAnsi="宋体" w:cs="宋体"/>
          <w:b/>
          <w:kern w:val="0"/>
          <w:sz w:val="28"/>
          <w:szCs w:val="28"/>
        </w:rPr>
      </w:pPr>
      <w:r>
        <w:rPr>
          <w:rFonts w:hint="eastAsia" w:ascii="宋体" w:hAnsi="宋体" w:cs="宋体"/>
          <w:b/>
          <w:kern w:val="0"/>
          <w:sz w:val="28"/>
          <w:szCs w:val="28"/>
        </w:rPr>
        <w:t>内师院发〔2018〕140号</w:t>
      </w:r>
    </w:p>
    <w:p>
      <w:pPr>
        <w:widowControl/>
        <w:spacing w:after="156" w:afterLines="50" w:line="560" w:lineRule="exact"/>
        <w:jc w:val="center"/>
        <w:rPr>
          <w:rFonts w:ascii="宋体" w:hAnsi="宋体" w:cs="宋体"/>
          <w:b/>
          <w:kern w:val="0"/>
          <w:sz w:val="28"/>
          <w:szCs w:val="28"/>
        </w:rPr>
      </w:pPr>
    </w:p>
    <w:p>
      <w:pPr>
        <w:spacing w:line="360" w:lineRule="auto"/>
        <w:ind w:firstLine="480" w:firstLineChars="200"/>
        <w:rPr>
          <w:rFonts w:ascii="宋体" w:hAnsi="宋体"/>
          <w:sz w:val="24"/>
          <w:szCs w:val="24"/>
        </w:rPr>
      </w:pPr>
      <w:r>
        <w:rPr>
          <w:rFonts w:hint="eastAsia" w:ascii="宋体" w:hAnsi="宋体"/>
          <w:sz w:val="24"/>
          <w:szCs w:val="24"/>
        </w:rPr>
        <w:t>“三分式”人才培养改革是在我国加快建设高等教育强国并实现内涵式发展新阶段，在我校全面落实2018年全国教育大会、新时代全国高等学校本科教育工作会议精神及中共四川省委四川省人民政府《关于全面深化新时代教师队伍建设改革的实施意见》精神、深化转型发展大背景下适时推出的应用型人才培养改革方案。“三分式”人才培养改革是对学校“以发展为中心，教学做统一”育人模式的深入推进，旨在根据学生的意愿和发展预期，探索多元化人才培养模式，构建多元化的课程体系，实施多元化的学业成果评价并最终提高学校的人才培养能力和质量，形成办学特色与比较优势，为地方本科院校的人才培养改革创新提供可资借鉴的实践经验与理论支持。</w:t>
      </w:r>
    </w:p>
    <w:p>
      <w:pPr>
        <w:pStyle w:val="2"/>
        <w:ind w:firstLine="482"/>
        <w:rPr>
          <w:rFonts w:ascii="宋体" w:hAnsi="宋体"/>
          <w:sz w:val="24"/>
          <w:szCs w:val="24"/>
        </w:rPr>
      </w:pPr>
      <w:r>
        <w:rPr>
          <w:rFonts w:hint="eastAsia" w:ascii="宋体" w:hAnsi="宋体"/>
          <w:sz w:val="24"/>
          <w:szCs w:val="24"/>
        </w:rPr>
        <w:t>一、基本原则</w:t>
      </w:r>
    </w:p>
    <w:p>
      <w:pPr>
        <w:pStyle w:val="3"/>
        <w:numPr>
          <w:ilvl w:val="0"/>
          <w:numId w:val="1"/>
        </w:numPr>
        <w:ind w:left="0" w:firstLine="482"/>
        <w:rPr>
          <w:rFonts w:ascii="宋体" w:hAnsi="宋体" w:eastAsia="宋体"/>
          <w:sz w:val="24"/>
          <w:szCs w:val="24"/>
        </w:rPr>
      </w:pPr>
      <w:r>
        <w:rPr>
          <w:rFonts w:hint="eastAsia" w:ascii="宋体" w:hAnsi="宋体" w:eastAsia="宋体"/>
          <w:sz w:val="24"/>
          <w:szCs w:val="24"/>
        </w:rPr>
        <w:t>育人为本、因材施教</w:t>
      </w:r>
    </w:p>
    <w:p>
      <w:pPr>
        <w:spacing w:line="360" w:lineRule="auto"/>
        <w:ind w:firstLine="480" w:firstLineChars="200"/>
        <w:rPr>
          <w:rFonts w:ascii="宋体" w:hAnsi="宋体"/>
          <w:sz w:val="24"/>
          <w:szCs w:val="24"/>
        </w:rPr>
      </w:pPr>
      <w:r>
        <w:rPr>
          <w:rFonts w:hint="eastAsia" w:ascii="宋体" w:hAnsi="宋体"/>
          <w:sz w:val="24"/>
          <w:szCs w:val="24"/>
        </w:rPr>
        <w:t>以“学生中心，因材施教，个性发展”为核心，根据学生个性发展定位，自主选择人才培养类别，实施分类别培养。</w:t>
      </w:r>
    </w:p>
    <w:p>
      <w:pPr>
        <w:pStyle w:val="3"/>
        <w:ind w:firstLine="482"/>
        <w:rPr>
          <w:rFonts w:ascii="宋体" w:hAnsi="宋体" w:eastAsia="宋体"/>
          <w:sz w:val="24"/>
          <w:szCs w:val="24"/>
        </w:rPr>
      </w:pPr>
      <w:r>
        <w:rPr>
          <w:rFonts w:hint="eastAsia" w:ascii="宋体" w:hAnsi="宋体" w:eastAsia="宋体"/>
          <w:sz w:val="24"/>
          <w:szCs w:val="24"/>
        </w:rPr>
        <w:t>（二）试点先行、逐步推广</w:t>
      </w:r>
    </w:p>
    <w:p>
      <w:pPr>
        <w:spacing w:line="360" w:lineRule="auto"/>
        <w:ind w:firstLine="480" w:firstLineChars="200"/>
        <w:rPr>
          <w:rFonts w:ascii="宋体" w:hAnsi="宋体"/>
          <w:sz w:val="24"/>
          <w:szCs w:val="24"/>
        </w:rPr>
      </w:pPr>
      <w:r>
        <w:rPr>
          <w:rFonts w:hint="eastAsia" w:ascii="宋体" w:hAnsi="宋体"/>
          <w:sz w:val="24"/>
          <w:szCs w:val="24"/>
        </w:rPr>
        <w:t>遵循“试点先行、逐步推广”的原则。学校首批遴选2～3个学院作为试点单位，并根据首批试点专业实施情况，适时启动后续试点学院和专业，最终形成全校性的“三分式”人才培养改革实施方案。</w:t>
      </w:r>
    </w:p>
    <w:p>
      <w:pPr>
        <w:pStyle w:val="3"/>
        <w:ind w:firstLine="482"/>
        <w:rPr>
          <w:rFonts w:ascii="宋体" w:hAnsi="宋体" w:eastAsia="宋体"/>
          <w:sz w:val="24"/>
          <w:szCs w:val="24"/>
        </w:rPr>
      </w:pPr>
      <w:r>
        <w:rPr>
          <w:rFonts w:hint="eastAsia" w:ascii="宋体" w:hAnsi="宋体" w:eastAsia="宋体"/>
          <w:sz w:val="24"/>
          <w:szCs w:val="24"/>
        </w:rPr>
        <w:t>（三）部门协作、统筹推进</w:t>
      </w:r>
    </w:p>
    <w:p>
      <w:pPr>
        <w:spacing w:line="360" w:lineRule="auto"/>
        <w:ind w:firstLine="480" w:firstLineChars="200"/>
        <w:rPr>
          <w:rFonts w:ascii="宋体" w:hAnsi="宋体"/>
          <w:sz w:val="24"/>
          <w:szCs w:val="24"/>
        </w:rPr>
      </w:pPr>
      <w:r>
        <w:rPr>
          <w:rFonts w:hint="eastAsia" w:ascii="宋体" w:hAnsi="宋体"/>
          <w:sz w:val="24"/>
          <w:szCs w:val="24"/>
        </w:rPr>
        <w:t>“三分式”人才培养改革是一项复杂的系统工程，涉及人、财、物的投入以及要求众多行政管理与教学部门的协同一致，因此要求科学规划、统筹安排、分步实施并力求实效，并最终形成改革的示范效应。</w:t>
      </w:r>
    </w:p>
    <w:p>
      <w:pPr>
        <w:pStyle w:val="3"/>
        <w:ind w:firstLine="482"/>
        <w:rPr>
          <w:rFonts w:ascii="宋体" w:hAnsi="宋体" w:eastAsia="宋体"/>
          <w:sz w:val="24"/>
          <w:szCs w:val="24"/>
        </w:rPr>
      </w:pPr>
      <w:r>
        <w:rPr>
          <w:rFonts w:hint="eastAsia" w:ascii="宋体" w:hAnsi="宋体" w:eastAsia="宋体"/>
          <w:sz w:val="24"/>
          <w:szCs w:val="24"/>
        </w:rPr>
        <w:t>（四）第一课堂、第二课堂有机融合</w:t>
      </w:r>
    </w:p>
    <w:p>
      <w:pPr>
        <w:spacing w:line="360" w:lineRule="auto"/>
        <w:ind w:firstLine="480" w:firstLineChars="200"/>
        <w:rPr>
          <w:rFonts w:ascii="宋体" w:hAnsi="宋体"/>
          <w:sz w:val="24"/>
          <w:szCs w:val="24"/>
        </w:rPr>
      </w:pPr>
      <w:r>
        <w:rPr>
          <w:rFonts w:hint="eastAsia" w:ascii="宋体" w:hAnsi="宋体"/>
          <w:sz w:val="24"/>
          <w:szCs w:val="24"/>
        </w:rPr>
        <w:t xml:space="preserve">强化实践教学，构建与第一课堂相融合的第二课堂课程体系，促进课内向课外延伸、校内向校外延伸，形成第一课堂教学育人、第二课堂活动育人和校外实践育人的三大平台有效联动育人体系。全面培养学生的基本素养、专业知识、专业能力、职业素养和创新创业素养，使第二课堂与第一课堂有机融合，最终达到育人效果。 </w:t>
      </w:r>
    </w:p>
    <w:p>
      <w:pPr>
        <w:pStyle w:val="2"/>
        <w:ind w:left="640" w:firstLine="0" w:firstLineChars="0"/>
        <w:rPr>
          <w:rFonts w:ascii="宋体" w:hAnsi="宋体"/>
          <w:sz w:val="24"/>
          <w:szCs w:val="24"/>
        </w:rPr>
      </w:pPr>
      <w:r>
        <w:rPr>
          <w:rFonts w:hint="eastAsia" w:ascii="宋体" w:hAnsi="宋体"/>
          <w:sz w:val="24"/>
          <w:szCs w:val="24"/>
        </w:rPr>
        <w:t>二、实施路径</w:t>
      </w:r>
    </w:p>
    <w:p>
      <w:pPr>
        <w:pStyle w:val="3"/>
        <w:ind w:firstLine="482"/>
        <w:rPr>
          <w:rFonts w:ascii="宋体" w:hAnsi="宋体" w:eastAsia="宋体"/>
          <w:sz w:val="24"/>
          <w:szCs w:val="24"/>
        </w:rPr>
      </w:pPr>
      <w:r>
        <w:rPr>
          <w:rFonts w:hint="eastAsia" w:ascii="宋体" w:hAnsi="宋体" w:eastAsia="宋体"/>
          <w:sz w:val="24"/>
          <w:szCs w:val="24"/>
        </w:rPr>
        <w:t>（一）试点专业的遴选</w:t>
      </w:r>
    </w:p>
    <w:p>
      <w:pPr>
        <w:spacing w:line="360" w:lineRule="auto"/>
        <w:ind w:firstLine="480" w:firstLineChars="200"/>
        <w:rPr>
          <w:rFonts w:ascii="宋体" w:hAnsi="宋体"/>
          <w:sz w:val="24"/>
          <w:szCs w:val="24"/>
        </w:rPr>
      </w:pPr>
      <w:r>
        <w:rPr>
          <w:rFonts w:hint="eastAsia" w:ascii="宋体" w:hAnsi="宋体"/>
          <w:sz w:val="24"/>
          <w:szCs w:val="24"/>
        </w:rPr>
        <w:t>根据统筹规划，试点先行的原则，首批遴选3个学院6个专业参与试点工作，具体是文学院的汉语言文学专业、生命科学学院的生物科学、生物技术、水产养殖学三个专业、化学与化工学院的化学、应用化学专业，从2018级新生开始实施“三分式”人才培养改革试点。</w:t>
      </w:r>
    </w:p>
    <w:p>
      <w:pPr>
        <w:pStyle w:val="3"/>
        <w:ind w:firstLine="482"/>
        <w:rPr>
          <w:rFonts w:ascii="宋体" w:hAnsi="宋体" w:eastAsia="宋体"/>
          <w:sz w:val="24"/>
          <w:szCs w:val="24"/>
        </w:rPr>
      </w:pPr>
      <w:r>
        <w:rPr>
          <w:rFonts w:hint="eastAsia" w:ascii="宋体" w:hAnsi="宋体" w:eastAsia="宋体"/>
          <w:sz w:val="24"/>
          <w:szCs w:val="24"/>
        </w:rPr>
        <w:t>（二）改革理念的解读</w:t>
      </w:r>
    </w:p>
    <w:p>
      <w:pPr>
        <w:spacing w:line="360" w:lineRule="auto"/>
        <w:ind w:firstLine="480" w:firstLineChars="200"/>
        <w:rPr>
          <w:rFonts w:ascii="宋体" w:hAnsi="宋体"/>
          <w:sz w:val="24"/>
          <w:szCs w:val="24"/>
        </w:rPr>
      </w:pPr>
      <w:r>
        <w:rPr>
          <w:rFonts w:hint="eastAsia" w:ascii="宋体" w:hAnsi="宋体"/>
          <w:sz w:val="24"/>
          <w:szCs w:val="24"/>
        </w:rPr>
        <w:t>在全校范围内广泛宣传和解读“三分式”人才培养改革理念、目标、内涵，使“三分式”人才培养改革逐步得到广大师生的普遍认同，并内化为师生的自觉行为。</w:t>
      </w:r>
    </w:p>
    <w:p>
      <w:pPr>
        <w:pStyle w:val="3"/>
        <w:ind w:firstLine="482"/>
        <w:rPr>
          <w:rFonts w:ascii="宋体" w:hAnsi="宋体" w:eastAsia="宋体"/>
          <w:sz w:val="24"/>
          <w:szCs w:val="24"/>
        </w:rPr>
      </w:pPr>
      <w:r>
        <w:rPr>
          <w:rFonts w:hint="eastAsia" w:ascii="宋体" w:hAnsi="宋体" w:eastAsia="宋体"/>
          <w:sz w:val="24"/>
          <w:szCs w:val="24"/>
        </w:rPr>
        <w:t>（三）学业导师制的实施</w:t>
      </w:r>
    </w:p>
    <w:p>
      <w:pPr>
        <w:spacing w:line="360" w:lineRule="auto"/>
        <w:ind w:firstLine="480" w:firstLineChars="200"/>
        <w:rPr>
          <w:rFonts w:ascii="宋体" w:hAnsi="宋体"/>
          <w:sz w:val="24"/>
          <w:szCs w:val="24"/>
        </w:rPr>
      </w:pPr>
      <w:r>
        <w:rPr>
          <w:rFonts w:hint="eastAsia" w:ascii="宋体" w:hAnsi="宋体"/>
          <w:sz w:val="24"/>
          <w:szCs w:val="24"/>
        </w:rPr>
        <w:t>根据人才培养的不同类别，实施学业导师制。每个导师组由5～6名职称与年龄结构合理的教师组成，组长由教学经验丰富的教授或副教授担任，具体负责各个学习环节的指导；实施“双导师制”，在企业或中小学校选聘优秀人员和校内教师组成导师团队，共同指导学生的实践教学。</w:t>
      </w:r>
    </w:p>
    <w:p>
      <w:pPr>
        <w:pStyle w:val="3"/>
        <w:ind w:firstLine="482"/>
        <w:rPr>
          <w:rFonts w:ascii="宋体" w:hAnsi="宋体" w:eastAsia="宋体"/>
          <w:sz w:val="24"/>
          <w:szCs w:val="24"/>
        </w:rPr>
      </w:pPr>
      <w:r>
        <w:rPr>
          <w:rFonts w:hint="eastAsia" w:ascii="宋体" w:hAnsi="宋体" w:eastAsia="宋体"/>
          <w:sz w:val="24"/>
          <w:szCs w:val="24"/>
        </w:rPr>
        <w:t>（四）分类别指导，服务个性成长</w:t>
      </w:r>
    </w:p>
    <w:p>
      <w:pPr>
        <w:spacing w:line="360" w:lineRule="auto"/>
        <w:ind w:firstLine="484" w:firstLineChars="202"/>
        <w:rPr>
          <w:rFonts w:ascii="宋体" w:hAnsi="宋体"/>
          <w:sz w:val="24"/>
          <w:szCs w:val="24"/>
        </w:rPr>
      </w:pPr>
      <w:r>
        <w:rPr>
          <w:rFonts w:hint="eastAsia" w:ascii="宋体" w:hAnsi="宋体"/>
          <w:sz w:val="24"/>
          <w:szCs w:val="24"/>
        </w:rPr>
        <w:t>依据经济社会发展需要以及学生个性的发展定位，选择人才培养类别，确定相应的人才核心素养指标，解决培养什么人的问题。</w:t>
      </w:r>
    </w:p>
    <w:p>
      <w:pPr>
        <w:spacing w:line="360" w:lineRule="auto"/>
        <w:ind w:firstLine="482" w:firstLineChars="200"/>
        <w:rPr>
          <w:rFonts w:ascii="宋体" w:hAnsi="宋体"/>
          <w:sz w:val="24"/>
          <w:szCs w:val="24"/>
        </w:rPr>
      </w:pPr>
      <w:r>
        <w:rPr>
          <w:rFonts w:hint="eastAsia" w:ascii="宋体" w:hAnsi="宋体"/>
          <w:b/>
          <w:sz w:val="24"/>
          <w:szCs w:val="24"/>
        </w:rPr>
        <w:t>1.自主选择。</w:t>
      </w:r>
      <w:r>
        <w:rPr>
          <w:rFonts w:hint="eastAsia" w:ascii="宋体" w:hAnsi="宋体"/>
          <w:sz w:val="24"/>
          <w:szCs w:val="24"/>
        </w:rPr>
        <w:t>2018级新生入学后，学校相关部门、试点学院、试点专业的教学管理人员、专业带头人、专业负责人、辅导员、班主任、学业导师等应全方位宣传解读“三分式”人才培养（模式）改革的内涵，引导学生根据个人意愿和发展预期，经过一年学习后，通过分流，自主选择进入“深造类”、“就业类”、“创业类”三类人才培养通道，实施分类别培养。</w:t>
      </w:r>
    </w:p>
    <w:p>
      <w:pPr>
        <w:spacing w:line="360" w:lineRule="auto"/>
        <w:ind w:firstLine="482" w:firstLineChars="200"/>
        <w:rPr>
          <w:rFonts w:ascii="宋体" w:hAnsi="宋体"/>
          <w:sz w:val="24"/>
          <w:szCs w:val="24"/>
        </w:rPr>
      </w:pPr>
      <w:r>
        <w:rPr>
          <w:rFonts w:hint="eastAsia" w:ascii="宋体" w:hAnsi="宋体"/>
          <w:b/>
          <w:sz w:val="24"/>
          <w:szCs w:val="24"/>
        </w:rPr>
        <w:t>2.组班方式。</w:t>
      </w:r>
      <w:r>
        <w:rPr>
          <w:rFonts w:hint="eastAsia" w:ascii="宋体" w:hAnsi="宋体"/>
          <w:sz w:val="24"/>
          <w:szCs w:val="24"/>
        </w:rPr>
        <w:t>学校对各类培养通道的学生人数不作统一规定。同一专业根据学生的选择，结合师资和教学条件，可同时分流为“深造类”、“就业类”、“创业类”三个培养通道，也可以分流为其中两个培养通道，不同的通道组班上课。若“创业类”培养类别人数少，可将试点专业整合组班或采取导师指导的方式开设创新精神与创业意识类课程。不同培养通道的课程应全部修完，不能跨通道选择部分课程修读。不同通道的相同课程可组班上课。</w:t>
      </w:r>
    </w:p>
    <w:p>
      <w:pPr>
        <w:spacing w:line="360" w:lineRule="auto"/>
        <w:ind w:firstLine="482" w:firstLineChars="200"/>
        <w:rPr>
          <w:rFonts w:ascii="宋体" w:hAnsi="宋体"/>
          <w:sz w:val="24"/>
          <w:szCs w:val="24"/>
        </w:rPr>
      </w:pPr>
      <w:r>
        <w:rPr>
          <w:rFonts w:hint="eastAsia" w:ascii="宋体" w:hAnsi="宋体"/>
          <w:b/>
          <w:sz w:val="24"/>
          <w:szCs w:val="24"/>
        </w:rPr>
        <w:t>3.进退机制。</w:t>
      </w:r>
      <w:r>
        <w:rPr>
          <w:rFonts w:hint="eastAsia" w:ascii="宋体" w:hAnsi="宋体"/>
          <w:sz w:val="24"/>
          <w:szCs w:val="24"/>
        </w:rPr>
        <w:t>学生有再次选择培养通道的机会。对于再次选择培养通道的学生，应修完该通道规定的所有课程。不同培养通道的相同课程，可直接认定学分；其他已修读课程，经试点学院初审、教务处审批后，可认定为专业选修课学分如实计入学生成绩档案。</w:t>
      </w:r>
    </w:p>
    <w:p>
      <w:pPr>
        <w:pStyle w:val="3"/>
        <w:ind w:firstLine="482"/>
        <w:rPr>
          <w:rFonts w:ascii="宋体" w:hAnsi="宋体" w:eastAsia="宋体"/>
          <w:sz w:val="24"/>
          <w:szCs w:val="24"/>
        </w:rPr>
      </w:pPr>
      <w:r>
        <w:rPr>
          <w:rFonts w:hint="eastAsia" w:ascii="宋体" w:hAnsi="宋体" w:eastAsia="宋体"/>
          <w:sz w:val="24"/>
          <w:szCs w:val="24"/>
        </w:rPr>
        <w:t>（五）分阶段培养，实施“121”（模式）</w:t>
      </w:r>
    </w:p>
    <w:p>
      <w:pPr>
        <w:spacing w:line="360" w:lineRule="auto"/>
        <w:ind w:firstLine="480" w:firstLineChars="200"/>
        <w:rPr>
          <w:rFonts w:ascii="宋体" w:hAnsi="宋体"/>
          <w:sz w:val="24"/>
          <w:szCs w:val="24"/>
        </w:rPr>
      </w:pPr>
      <w:r>
        <w:rPr>
          <w:rFonts w:hint="eastAsia" w:ascii="宋体" w:hAnsi="宋体"/>
          <w:sz w:val="24"/>
          <w:szCs w:val="24"/>
        </w:rPr>
        <w:t>依据专业核心素养指标，确立课程体系、核心素养指标，设计有效的培养途径与措施，解决什么时段教什么与学什么的问题。</w:t>
      </w:r>
    </w:p>
    <w:p>
      <w:pPr>
        <w:spacing w:line="360" w:lineRule="auto"/>
        <w:ind w:firstLine="480" w:firstLineChars="200"/>
        <w:rPr>
          <w:rFonts w:ascii="宋体" w:hAnsi="宋体"/>
          <w:sz w:val="24"/>
          <w:szCs w:val="24"/>
        </w:rPr>
      </w:pPr>
      <w:r>
        <w:rPr>
          <w:rFonts w:hint="eastAsia" w:ascii="宋体" w:hAnsi="宋体"/>
          <w:sz w:val="24"/>
          <w:szCs w:val="24"/>
        </w:rPr>
        <w:t>第一阶段（第1学年——“1”）,通识教育阶段：课程体系应设置为“通识课程+专业基础课+专业核心课”，旨在为学生夯实相关专业基础与能力，构建起完整的专业知识结构，为做好下一步的发展与职业规划奠定宽广与坚实的专业知识基础。</w:t>
      </w:r>
    </w:p>
    <w:p>
      <w:pPr>
        <w:spacing w:line="360" w:lineRule="auto"/>
        <w:ind w:firstLine="480" w:firstLineChars="200"/>
        <w:rPr>
          <w:rFonts w:ascii="宋体" w:hAnsi="宋体"/>
          <w:sz w:val="24"/>
          <w:szCs w:val="24"/>
        </w:rPr>
      </w:pPr>
      <w:r>
        <w:rPr>
          <w:rFonts w:hint="eastAsia" w:ascii="宋体" w:hAnsi="宋体"/>
          <w:sz w:val="24"/>
          <w:szCs w:val="24"/>
        </w:rPr>
        <w:t>第二阶段（第2～3学年——“2”），专业教育阶段：学生自主选择进入不同的培养通道。课程体系应设置为“专业基础课+专业核心课+专业发展方向课模块”，专业发展方向课程模块应设置为“核心能力模块+选修模块”，应体现不同培养类别的专业核心能力和素养，确保不同培养通道综合能力的提升。</w:t>
      </w:r>
    </w:p>
    <w:p>
      <w:pPr>
        <w:spacing w:line="360" w:lineRule="auto"/>
        <w:ind w:firstLine="480" w:firstLineChars="200"/>
        <w:rPr>
          <w:rFonts w:ascii="宋体" w:hAnsi="宋体"/>
          <w:sz w:val="24"/>
          <w:szCs w:val="24"/>
        </w:rPr>
      </w:pPr>
      <w:r>
        <w:rPr>
          <w:rFonts w:hint="eastAsia" w:ascii="宋体" w:hAnsi="宋体"/>
          <w:sz w:val="24"/>
          <w:szCs w:val="24"/>
        </w:rPr>
        <w:t>第三阶段（第4学年——“1”），能力提升阶段：课程体系应设置为“专业发展方向选修课程+专业（教育）实习+毕业论文（设计、创作）模块”，根据学生的不同培养类别，开展专项能力培养及综合素质培养，实践能力提升工作，灵活安排课程教学、实习环节、有针对性安排毕业论文（设计、创作）课题。</w:t>
      </w:r>
    </w:p>
    <w:p>
      <w:pPr>
        <w:pStyle w:val="3"/>
        <w:ind w:firstLine="482"/>
        <w:rPr>
          <w:rFonts w:ascii="宋体" w:hAnsi="宋体" w:eastAsia="宋体"/>
          <w:sz w:val="24"/>
          <w:szCs w:val="24"/>
        </w:rPr>
      </w:pPr>
      <w:r>
        <w:rPr>
          <w:rFonts w:hint="eastAsia" w:ascii="宋体" w:hAnsi="宋体" w:eastAsia="宋体"/>
          <w:sz w:val="24"/>
          <w:szCs w:val="24"/>
        </w:rPr>
        <w:t>（六）分模块推进，提高教学效率</w:t>
      </w:r>
    </w:p>
    <w:p>
      <w:pPr>
        <w:spacing w:line="360" w:lineRule="auto"/>
        <w:ind w:firstLine="484" w:firstLineChars="202"/>
        <w:rPr>
          <w:rFonts w:ascii="宋体" w:hAnsi="宋体"/>
          <w:sz w:val="24"/>
          <w:szCs w:val="24"/>
        </w:rPr>
      </w:pPr>
      <w:r>
        <w:rPr>
          <w:rFonts w:hint="eastAsia" w:ascii="宋体" w:hAnsi="宋体"/>
          <w:sz w:val="24"/>
          <w:szCs w:val="24"/>
        </w:rPr>
        <w:t>依据人才核心素养指标，确立专业核心素养指标，并由此构建相应的专业课程模块体系，解决教什么（学什么）与怎么教（怎么学）的问题。</w:t>
      </w:r>
    </w:p>
    <w:p>
      <w:pPr>
        <w:spacing w:line="360" w:lineRule="auto"/>
        <w:ind w:firstLine="484" w:firstLineChars="202"/>
        <w:rPr>
          <w:rFonts w:ascii="宋体" w:hAnsi="宋体"/>
          <w:sz w:val="24"/>
          <w:szCs w:val="24"/>
        </w:rPr>
      </w:pPr>
      <w:r>
        <w:rPr>
          <w:rFonts w:hint="eastAsia" w:ascii="宋体" w:hAnsi="宋体"/>
          <w:sz w:val="24"/>
          <w:szCs w:val="24"/>
        </w:rPr>
        <w:t>课程设置模块化。构建“基本模块+能力提升模块+出国留学模块”三类。其中，基本模块包括通识课、专业基础课、专业核心课，能力提升模块包括专业发展方向课。基本模块和能力提升模块是每个培养类别学生必选模块。“出国留学模块”为辅修模块，旨在拓展学生对外交流，让更多的学生到国外参加游学项目，提高人才培养的开放性。学生可以根据自身发展需要自主辅修，修完规定学分，颁发辅修证。</w:t>
      </w:r>
    </w:p>
    <w:p>
      <w:pPr>
        <w:pStyle w:val="3"/>
        <w:ind w:firstLine="482"/>
        <w:rPr>
          <w:rFonts w:ascii="宋体" w:hAnsi="宋体" w:eastAsia="宋体"/>
          <w:sz w:val="24"/>
          <w:szCs w:val="24"/>
        </w:rPr>
      </w:pPr>
      <w:r>
        <w:rPr>
          <w:rFonts w:hint="eastAsia" w:ascii="宋体" w:hAnsi="宋体" w:eastAsia="宋体"/>
          <w:sz w:val="24"/>
          <w:szCs w:val="24"/>
        </w:rPr>
        <w:t>（七）各培养通道实施要求</w:t>
      </w:r>
    </w:p>
    <w:p>
      <w:pPr>
        <w:spacing w:line="360" w:lineRule="auto"/>
        <w:ind w:firstLine="487" w:firstLineChars="202"/>
        <w:rPr>
          <w:rFonts w:ascii="宋体" w:hAnsi="宋体"/>
          <w:sz w:val="24"/>
          <w:szCs w:val="24"/>
        </w:rPr>
      </w:pPr>
      <w:r>
        <w:rPr>
          <w:rFonts w:hint="eastAsia" w:ascii="宋体" w:hAnsi="宋体"/>
          <w:b/>
          <w:sz w:val="24"/>
          <w:szCs w:val="24"/>
        </w:rPr>
        <w:t>1.“深造类”培养通道。</w:t>
      </w:r>
      <w:r>
        <w:rPr>
          <w:rFonts w:hint="eastAsia" w:ascii="宋体" w:hAnsi="宋体"/>
          <w:sz w:val="24"/>
          <w:szCs w:val="24"/>
        </w:rPr>
        <w:t>研究生入学考试的公共课程（英语、数学、思政课程）应在第二阶段修读，由外国语学院、数学与信息科学学院、马克思主义学院承担，试点专业可整合组班开设研究生入学考试的公共课程。强化专业知识、专业能力的培养和高质量掌握，帮助学生顺利获得更多更好深造机会。努力探索与综合性、研究型大学的校校合作，为学生的深造争取更多机会。</w:t>
      </w:r>
    </w:p>
    <w:p>
      <w:pPr>
        <w:spacing w:line="360" w:lineRule="auto"/>
        <w:ind w:firstLine="487" w:firstLineChars="202"/>
        <w:rPr>
          <w:rFonts w:ascii="宋体" w:hAnsi="宋体"/>
          <w:sz w:val="24"/>
          <w:szCs w:val="24"/>
        </w:rPr>
      </w:pPr>
      <w:r>
        <w:rPr>
          <w:rFonts w:hint="eastAsia" w:ascii="宋体" w:hAnsi="宋体"/>
          <w:b/>
          <w:sz w:val="24"/>
          <w:szCs w:val="24"/>
        </w:rPr>
        <w:t>2.“就业类”培养通道。</w:t>
      </w:r>
      <w:r>
        <w:rPr>
          <w:rFonts w:hint="eastAsia" w:ascii="宋体" w:hAnsi="宋体"/>
          <w:sz w:val="24"/>
          <w:szCs w:val="24"/>
        </w:rPr>
        <w:t>加强职业生涯规划和就业指导，强化学生实践能力、加强求职能力及职业素养教育，探索与企事业单位开展订单式人才培养，努力实现“实习+就业”的培养（模式）。</w:t>
      </w:r>
    </w:p>
    <w:p>
      <w:pPr>
        <w:spacing w:line="360" w:lineRule="auto"/>
        <w:ind w:firstLine="487" w:firstLineChars="202"/>
        <w:rPr>
          <w:rFonts w:ascii="宋体" w:hAnsi="宋体"/>
          <w:sz w:val="24"/>
          <w:szCs w:val="24"/>
        </w:rPr>
      </w:pPr>
      <w:r>
        <w:rPr>
          <w:rFonts w:hint="eastAsia" w:ascii="宋体" w:hAnsi="宋体"/>
          <w:b/>
          <w:sz w:val="24"/>
          <w:szCs w:val="24"/>
        </w:rPr>
        <w:t>3.“创业类”培养通道。</w:t>
      </w:r>
      <w:r>
        <w:rPr>
          <w:rFonts w:hint="eastAsia" w:ascii="宋体" w:hAnsi="宋体"/>
          <w:sz w:val="24"/>
          <w:szCs w:val="24"/>
        </w:rPr>
        <w:t>构建“基础+专业+实践”的创新创业课程体系。《大学生创业基础》作为基础课程；综合素质选修课程模块中应修读两门及以上创新创业教育系列课程；结合专业开设创新创业教育课程、创业实践必修课程。搭建以校内实验实训中心为基础的实践平台，以“大创”项目为抓手的训练平台，以学科竞赛为依托的竞赛活动平台，以创新创业园区为载体的孵化支持平台，以校地校企合作共建为主体的拓展延伸平台。</w:t>
      </w:r>
    </w:p>
    <w:p>
      <w:pPr>
        <w:pStyle w:val="2"/>
        <w:ind w:left="640" w:firstLine="0" w:firstLineChars="0"/>
        <w:rPr>
          <w:rFonts w:ascii="宋体" w:hAnsi="宋体"/>
          <w:sz w:val="24"/>
          <w:szCs w:val="24"/>
        </w:rPr>
      </w:pPr>
      <w:r>
        <w:rPr>
          <w:rFonts w:hint="eastAsia" w:ascii="宋体" w:hAnsi="宋体"/>
          <w:sz w:val="24"/>
          <w:szCs w:val="24"/>
        </w:rPr>
        <w:t>三、进度安排</w:t>
      </w:r>
    </w:p>
    <w:p>
      <w:pPr>
        <w:pStyle w:val="3"/>
        <w:ind w:firstLine="482"/>
        <w:rPr>
          <w:rFonts w:ascii="宋体" w:hAnsi="宋体" w:eastAsia="宋体"/>
          <w:bCs w:val="0"/>
          <w:sz w:val="24"/>
          <w:szCs w:val="24"/>
        </w:rPr>
      </w:pPr>
      <w:r>
        <w:rPr>
          <w:rFonts w:hint="eastAsia" w:ascii="宋体" w:hAnsi="宋体" w:eastAsia="宋体"/>
          <w:bCs w:val="0"/>
          <w:sz w:val="24"/>
          <w:szCs w:val="24"/>
        </w:rPr>
        <w:t xml:space="preserve">（一）2018.07～2019.01 </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4786" w:type="dxa"/>
            <w:vAlign w:val="center"/>
          </w:tcPr>
          <w:p>
            <w:pPr>
              <w:jc w:val="center"/>
              <w:rPr>
                <w:rFonts w:ascii="仿宋" w:hAnsi="仿宋" w:eastAsia="仿宋"/>
                <w:b/>
                <w:sz w:val="24"/>
                <w:szCs w:val="24"/>
              </w:rPr>
            </w:pPr>
            <w:r>
              <w:rPr>
                <w:rFonts w:hint="eastAsia" w:ascii="仿宋" w:hAnsi="仿宋" w:eastAsia="仿宋"/>
                <w:b/>
                <w:sz w:val="24"/>
                <w:szCs w:val="24"/>
              </w:rPr>
              <w:t>任务</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4786" w:type="dxa"/>
            <w:vAlign w:val="center"/>
          </w:tcPr>
          <w:p>
            <w:pPr>
              <w:rPr>
                <w:rFonts w:ascii="仿宋" w:hAnsi="仿宋" w:eastAsia="仿宋"/>
                <w:sz w:val="24"/>
                <w:szCs w:val="24"/>
              </w:rPr>
            </w:pPr>
            <w:r>
              <w:rPr>
                <w:rFonts w:hint="eastAsia" w:ascii="仿宋" w:hAnsi="仿宋" w:eastAsia="仿宋"/>
                <w:sz w:val="24"/>
                <w:szCs w:val="24"/>
              </w:rPr>
              <w:t>1.遴选2-3个试点学院</w:t>
            </w:r>
          </w:p>
        </w:tc>
        <w:tc>
          <w:tcPr>
            <w:tcW w:w="4678" w:type="dxa"/>
            <w:vAlign w:val="center"/>
          </w:tcPr>
          <w:p>
            <w:pPr>
              <w:rPr>
                <w:rFonts w:ascii="仿宋" w:hAnsi="仿宋" w:eastAsia="仿宋"/>
                <w:sz w:val="24"/>
                <w:szCs w:val="24"/>
              </w:rPr>
            </w:pPr>
            <w:r>
              <w:rPr>
                <w:rFonts w:hint="eastAsia" w:ascii="仿宋" w:hAnsi="仿宋" w:eastAsia="仿宋"/>
                <w:sz w:val="24"/>
                <w:szCs w:val="24"/>
              </w:rPr>
              <w:t>教务处、发展规划处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rPr>
                <w:rFonts w:ascii="仿宋" w:hAnsi="仿宋" w:eastAsia="仿宋"/>
                <w:sz w:val="24"/>
                <w:szCs w:val="24"/>
              </w:rPr>
            </w:pPr>
            <w:r>
              <w:rPr>
                <w:rFonts w:hint="eastAsia" w:ascii="仿宋" w:hAnsi="仿宋" w:eastAsia="仿宋"/>
                <w:sz w:val="24"/>
                <w:szCs w:val="24"/>
              </w:rPr>
              <w:t>2.制订“三分式”人才培养改革指导意见、实施方案</w:t>
            </w:r>
          </w:p>
        </w:tc>
        <w:tc>
          <w:tcPr>
            <w:tcW w:w="4678" w:type="dxa"/>
            <w:vAlign w:val="center"/>
          </w:tcPr>
          <w:p>
            <w:pPr>
              <w:rPr>
                <w:rFonts w:ascii="仿宋" w:hAnsi="仿宋" w:eastAsia="仿宋"/>
                <w:sz w:val="24"/>
                <w:szCs w:val="24"/>
              </w:rPr>
            </w:pPr>
            <w:r>
              <w:rPr>
                <w:rFonts w:hint="eastAsia" w:ascii="仿宋" w:hAnsi="仿宋" w:eastAsia="仿宋"/>
                <w:sz w:val="24"/>
                <w:szCs w:val="24"/>
              </w:rPr>
              <w:t>发展规划处、教务处、党委（校长）办公室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4786" w:type="dxa"/>
            <w:vAlign w:val="center"/>
          </w:tcPr>
          <w:p>
            <w:pPr>
              <w:rPr>
                <w:rFonts w:ascii="仿宋" w:hAnsi="仿宋" w:eastAsia="仿宋"/>
                <w:sz w:val="24"/>
                <w:szCs w:val="24"/>
              </w:rPr>
            </w:pPr>
            <w:r>
              <w:rPr>
                <w:rFonts w:hint="eastAsia" w:ascii="仿宋" w:hAnsi="仿宋" w:eastAsia="仿宋"/>
                <w:sz w:val="24"/>
                <w:szCs w:val="24"/>
              </w:rPr>
              <w:t>3.制订试点专业人才培养方案</w:t>
            </w:r>
          </w:p>
        </w:tc>
        <w:tc>
          <w:tcPr>
            <w:tcW w:w="4678"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rPr>
                <w:rFonts w:ascii="仿宋" w:hAnsi="仿宋" w:eastAsia="仿宋"/>
                <w:sz w:val="24"/>
                <w:szCs w:val="24"/>
              </w:rPr>
            </w:pPr>
            <w:r>
              <w:rPr>
                <w:rFonts w:hint="eastAsia" w:ascii="仿宋" w:hAnsi="仿宋" w:eastAsia="仿宋"/>
                <w:sz w:val="24"/>
                <w:szCs w:val="24"/>
              </w:rPr>
              <w:t>4.宣传解读“三分式”人才培养改革理念</w:t>
            </w:r>
          </w:p>
        </w:tc>
        <w:tc>
          <w:tcPr>
            <w:tcW w:w="4678" w:type="dxa"/>
            <w:vAlign w:val="center"/>
          </w:tcPr>
          <w:p>
            <w:pPr>
              <w:rPr>
                <w:rFonts w:ascii="仿宋" w:hAnsi="仿宋" w:eastAsia="仿宋"/>
                <w:sz w:val="24"/>
                <w:szCs w:val="24"/>
              </w:rPr>
            </w:pPr>
            <w:r>
              <w:rPr>
                <w:rFonts w:hint="eastAsia" w:ascii="仿宋" w:hAnsi="仿宋" w:eastAsia="仿宋"/>
                <w:sz w:val="24"/>
                <w:szCs w:val="24"/>
              </w:rPr>
              <w:t>发展规划处、党委宣传部、教务处、各二级学院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4786" w:type="dxa"/>
            <w:vAlign w:val="center"/>
          </w:tcPr>
          <w:p>
            <w:pPr>
              <w:rPr>
                <w:rFonts w:ascii="仿宋" w:hAnsi="仿宋" w:eastAsia="仿宋"/>
                <w:sz w:val="24"/>
                <w:szCs w:val="24"/>
              </w:rPr>
            </w:pPr>
            <w:r>
              <w:rPr>
                <w:rFonts w:hint="eastAsia" w:ascii="仿宋" w:hAnsi="仿宋" w:eastAsia="仿宋"/>
                <w:sz w:val="24"/>
                <w:szCs w:val="24"/>
              </w:rPr>
              <w:t>5.解读、宣传“三分式”人才培养方案</w:t>
            </w:r>
          </w:p>
        </w:tc>
        <w:tc>
          <w:tcPr>
            <w:tcW w:w="4678" w:type="dxa"/>
            <w:vAlign w:val="center"/>
          </w:tcPr>
          <w:p>
            <w:pPr>
              <w:rPr>
                <w:rFonts w:ascii="仿宋" w:hAnsi="仿宋" w:eastAsia="仿宋"/>
                <w:sz w:val="24"/>
                <w:szCs w:val="24"/>
              </w:rPr>
            </w:pPr>
            <w:r>
              <w:rPr>
                <w:rFonts w:hint="eastAsia" w:ascii="仿宋" w:hAnsi="仿宋" w:eastAsia="仿宋"/>
                <w:sz w:val="24"/>
                <w:szCs w:val="24"/>
              </w:rPr>
              <w:t>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786" w:type="dxa"/>
            <w:vAlign w:val="center"/>
          </w:tcPr>
          <w:p>
            <w:pPr>
              <w:rPr>
                <w:rFonts w:ascii="仿宋" w:hAnsi="仿宋" w:eastAsia="仿宋"/>
                <w:sz w:val="24"/>
                <w:szCs w:val="24"/>
              </w:rPr>
            </w:pPr>
            <w:r>
              <w:rPr>
                <w:rFonts w:hint="eastAsia" w:ascii="仿宋" w:hAnsi="仿宋" w:eastAsia="仿宋"/>
                <w:sz w:val="24"/>
                <w:szCs w:val="24"/>
              </w:rPr>
              <w:t>6.实施第一阶段:通识教育</w:t>
            </w:r>
          </w:p>
        </w:tc>
        <w:tc>
          <w:tcPr>
            <w:tcW w:w="4678" w:type="dxa"/>
            <w:vAlign w:val="center"/>
          </w:tcPr>
          <w:p>
            <w:pPr>
              <w:rPr>
                <w:rFonts w:ascii="仿宋" w:hAnsi="仿宋" w:eastAsia="仿宋"/>
                <w:sz w:val="24"/>
                <w:szCs w:val="24"/>
              </w:rPr>
            </w:pPr>
            <w:r>
              <w:rPr>
                <w:rFonts w:hint="eastAsia" w:ascii="仿宋" w:hAnsi="仿宋" w:eastAsia="仿宋"/>
                <w:sz w:val="24"/>
                <w:szCs w:val="24"/>
              </w:rPr>
              <w:t>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rPr>
                <w:rFonts w:ascii="仿宋" w:hAnsi="仿宋" w:eastAsia="仿宋"/>
                <w:sz w:val="24"/>
                <w:szCs w:val="24"/>
              </w:rPr>
            </w:pPr>
            <w:r>
              <w:rPr>
                <w:rFonts w:hint="eastAsia" w:ascii="仿宋" w:hAnsi="仿宋" w:eastAsia="仿宋"/>
                <w:sz w:val="24"/>
                <w:szCs w:val="24"/>
              </w:rPr>
              <w:t>7.构建创新创业教育课程体系</w:t>
            </w:r>
          </w:p>
        </w:tc>
        <w:tc>
          <w:tcPr>
            <w:tcW w:w="4678" w:type="dxa"/>
            <w:vAlign w:val="center"/>
          </w:tcPr>
          <w:p>
            <w:pPr>
              <w:rPr>
                <w:rFonts w:ascii="仿宋" w:hAnsi="仿宋" w:eastAsia="仿宋"/>
                <w:sz w:val="24"/>
                <w:szCs w:val="24"/>
              </w:rPr>
            </w:pPr>
            <w:r>
              <w:rPr>
                <w:rFonts w:hint="eastAsia" w:ascii="仿宋" w:hAnsi="仿宋" w:eastAsia="仿宋"/>
                <w:sz w:val="24"/>
                <w:szCs w:val="24"/>
              </w:rPr>
              <w:t>教务处、招就处、学生处、</w:t>
            </w:r>
          </w:p>
          <w:p>
            <w:pPr>
              <w:rPr>
                <w:rFonts w:ascii="仿宋" w:hAnsi="仿宋" w:eastAsia="仿宋"/>
                <w:sz w:val="24"/>
                <w:szCs w:val="24"/>
              </w:rPr>
            </w:pPr>
            <w:r>
              <w:rPr>
                <w:rFonts w:hint="eastAsia" w:ascii="仿宋" w:hAnsi="仿宋" w:eastAsia="仿宋"/>
                <w:sz w:val="24"/>
                <w:szCs w:val="24"/>
              </w:rPr>
              <w:t>团委、试点学院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rPr>
                <w:rFonts w:ascii="仿宋" w:hAnsi="仿宋" w:eastAsia="仿宋"/>
                <w:sz w:val="24"/>
                <w:szCs w:val="24"/>
              </w:rPr>
            </w:pPr>
            <w:r>
              <w:rPr>
                <w:rFonts w:hint="eastAsia" w:ascii="仿宋" w:hAnsi="仿宋" w:eastAsia="仿宋"/>
                <w:sz w:val="24"/>
                <w:szCs w:val="24"/>
              </w:rPr>
              <w:t>8.构建出国留学辅修模块</w:t>
            </w:r>
          </w:p>
        </w:tc>
        <w:tc>
          <w:tcPr>
            <w:tcW w:w="4678" w:type="dxa"/>
            <w:vAlign w:val="center"/>
          </w:tcPr>
          <w:p>
            <w:pPr>
              <w:rPr>
                <w:rFonts w:ascii="仿宋" w:hAnsi="仿宋" w:eastAsia="仿宋"/>
                <w:sz w:val="24"/>
                <w:szCs w:val="24"/>
              </w:rPr>
            </w:pPr>
            <w:r>
              <w:rPr>
                <w:rFonts w:hint="eastAsia" w:ascii="仿宋" w:hAnsi="仿宋" w:eastAsia="仿宋"/>
                <w:sz w:val="24"/>
                <w:szCs w:val="24"/>
              </w:rPr>
              <w:t>教务处、外事处、试点学院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786" w:type="dxa"/>
            <w:vAlign w:val="center"/>
          </w:tcPr>
          <w:p>
            <w:pPr>
              <w:rPr>
                <w:rFonts w:ascii="仿宋" w:hAnsi="仿宋" w:eastAsia="仿宋"/>
                <w:sz w:val="24"/>
                <w:szCs w:val="24"/>
              </w:rPr>
            </w:pPr>
            <w:r>
              <w:rPr>
                <w:rFonts w:hint="eastAsia" w:ascii="仿宋" w:hAnsi="仿宋" w:eastAsia="仿宋"/>
                <w:sz w:val="24"/>
                <w:szCs w:val="24"/>
              </w:rPr>
              <w:t>9.优化第二课堂课程体系</w:t>
            </w:r>
          </w:p>
        </w:tc>
        <w:tc>
          <w:tcPr>
            <w:tcW w:w="4678" w:type="dxa"/>
            <w:vAlign w:val="center"/>
          </w:tcPr>
          <w:p>
            <w:pPr>
              <w:rPr>
                <w:rFonts w:ascii="仿宋" w:hAnsi="仿宋" w:eastAsia="仿宋"/>
                <w:sz w:val="24"/>
                <w:szCs w:val="24"/>
              </w:rPr>
            </w:pPr>
            <w:r>
              <w:rPr>
                <w:rFonts w:hint="eastAsia" w:ascii="仿宋" w:hAnsi="仿宋" w:eastAsia="仿宋"/>
                <w:sz w:val="24"/>
                <w:szCs w:val="24"/>
              </w:rPr>
              <w:t>学生处、团委、试点学院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rPr>
                <w:rFonts w:ascii="仿宋" w:hAnsi="仿宋" w:eastAsia="仿宋"/>
                <w:sz w:val="24"/>
                <w:szCs w:val="24"/>
              </w:rPr>
            </w:pPr>
            <w:r>
              <w:rPr>
                <w:rFonts w:hint="eastAsia" w:ascii="仿宋" w:hAnsi="仿宋" w:eastAsia="仿宋"/>
                <w:sz w:val="24"/>
                <w:szCs w:val="24"/>
              </w:rPr>
              <w:t>10.建立监督检查机制和工作考核、奖励机制</w:t>
            </w:r>
          </w:p>
        </w:tc>
        <w:tc>
          <w:tcPr>
            <w:tcW w:w="4678" w:type="dxa"/>
            <w:vAlign w:val="center"/>
          </w:tcPr>
          <w:p>
            <w:pPr>
              <w:rPr>
                <w:rFonts w:ascii="仿宋" w:hAnsi="仿宋" w:eastAsia="仿宋"/>
                <w:sz w:val="24"/>
                <w:szCs w:val="24"/>
              </w:rPr>
            </w:pPr>
            <w:r>
              <w:rPr>
                <w:rFonts w:hint="eastAsia" w:ascii="仿宋" w:hAnsi="仿宋" w:eastAsia="仿宋"/>
                <w:sz w:val="24"/>
                <w:szCs w:val="24"/>
              </w:rPr>
              <w:t>评估处、发展规划处、人事处、党委（校长）办公室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786" w:type="dxa"/>
            <w:vAlign w:val="center"/>
          </w:tcPr>
          <w:p>
            <w:pPr>
              <w:rPr>
                <w:rFonts w:ascii="仿宋" w:hAnsi="仿宋" w:eastAsia="仿宋"/>
                <w:sz w:val="24"/>
                <w:szCs w:val="24"/>
              </w:rPr>
            </w:pPr>
            <w:r>
              <w:rPr>
                <w:rFonts w:hint="eastAsia" w:ascii="仿宋" w:hAnsi="仿宋" w:eastAsia="仿宋"/>
                <w:sz w:val="24"/>
                <w:szCs w:val="24"/>
              </w:rPr>
              <w:t>11.构建德育实践育人实施方案</w:t>
            </w:r>
          </w:p>
        </w:tc>
        <w:tc>
          <w:tcPr>
            <w:tcW w:w="4678" w:type="dxa"/>
            <w:vAlign w:val="center"/>
          </w:tcPr>
          <w:p>
            <w:pPr>
              <w:rPr>
                <w:rFonts w:ascii="仿宋" w:hAnsi="仿宋" w:eastAsia="仿宋"/>
                <w:sz w:val="24"/>
                <w:szCs w:val="24"/>
              </w:rPr>
            </w:pPr>
            <w:r>
              <w:rPr>
                <w:rFonts w:hint="eastAsia" w:ascii="仿宋" w:hAnsi="仿宋" w:eastAsia="仿宋"/>
                <w:sz w:val="24"/>
                <w:szCs w:val="24"/>
              </w:rPr>
              <w:t>学生处、团委、教务处、试点学院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786" w:type="dxa"/>
            <w:vAlign w:val="center"/>
          </w:tcPr>
          <w:p>
            <w:pPr>
              <w:rPr>
                <w:rFonts w:ascii="仿宋" w:hAnsi="仿宋" w:eastAsia="仿宋"/>
                <w:sz w:val="24"/>
                <w:szCs w:val="24"/>
              </w:rPr>
            </w:pPr>
            <w:r>
              <w:rPr>
                <w:rFonts w:hint="eastAsia" w:ascii="仿宋" w:hAnsi="仿宋" w:eastAsia="仿宋"/>
                <w:sz w:val="24"/>
                <w:szCs w:val="24"/>
              </w:rPr>
              <w:t>12.落实专项经费激励机制</w:t>
            </w:r>
          </w:p>
        </w:tc>
        <w:tc>
          <w:tcPr>
            <w:tcW w:w="4678" w:type="dxa"/>
            <w:vAlign w:val="center"/>
          </w:tcPr>
          <w:p>
            <w:pPr>
              <w:rPr>
                <w:rFonts w:ascii="仿宋" w:hAnsi="仿宋" w:eastAsia="仿宋"/>
                <w:sz w:val="24"/>
                <w:szCs w:val="24"/>
              </w:rPr>
            </w:pPr>
            <w:r>
              <w:rPr>
                <w:rFonts w:hint="eastAsia" w:ascii="仿宋" w:hAnsi="仿宋" w:eastAsia="仿宋"/>
                <w:sz w:val="24"/>
                <w:szCs w:val="24"/>
              </w:rPr>
              <w:t>计财处、人事处、发展规划处、教务处、党委（校长）办公室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786" w:type="dxa"/>
            <w:vAlign w:val="center"/>
          </w:tcPr>
          <w:p>
            <w:pPr>
              <w:rPr>
                <w:rFonts w:ascii="仿宋" w:hAnsi="仿宋" w:eastAsia="仿宋"/>
                <w:sz w:val="24"/>
                <w:szCs w:val="24"/>
              </w:rPr>
            </w:pPr>
            <w:r>
              <w:rPr>
                <w:rFonts w:hint="eastAsia" w:ascii="仿宋" w:hAnsi="仿宋" w:eastAsia="仿宋"/>
                <w:sz w:val="24"/>
                <w:szCs w:val="24"/>
              </w:rPr>
              <w:t>13.建立配套的保障机制和管理制度</w:t>
            </w:r>
          </w:p>
        </w:tc>
        <w:tc>
          <w:tcPr>
            <w:tcW w:w="4678" w:type="dxa"/>
            <w:vAlign w:val="center"/>
          </w:tcPr>
          <w:p>
            <w:pPr>
              <w:rPr>
                <w:rFonts w:ascii="仿宋" w:hAnsi="仿宋" w:eastAsia="仿宋"/>
                <w:sz w:val="24"/>
                <w:szCs w:val="24"/>
              </w:rPr>
            </w:pPr>
            <w:r>
              <w:rPr>
                <w:rFonts w:hint="eastAsia" w:ascii="仿宋" w:hAnsi="仿宋" w:eastAsia="仿宋"/>
                <w:sz w:val="24"/>
                <w:szCs w:val="24"/>
              </w:rPr>
              <w:t>党委（校长）办公室、发展规划处、相关部门</w:t>
            </w:r>
          </w:p>
        </w:tc>
      </w:tr>
    </w:tbl>
    <w:p>
      <w:pPr>
        <w:pStyle w:val="3"/>
        <w:spacing w:line="520" w:lineRule="exact"/>
        <w:ind w:firstLine="0" w:firstLineChars="0"/>
        <w:rPr>
          <w:rFonts w:ascii="宋体" w:hAnsi="宋体" w:eastAsia="宋体"/>
          <w:bCs w:val="0"/>
          <w:sz w:val="24"/>
          <w:szCs w:val="24"/>
        </w:rPr>
      </w:pPr>
      <w:r>
        <w:rPr>
          <w:rFonts w:hint="eastAsia" w:ascii="宋体" w:hAnsi="宋体" w:eastAsia="宋体"/>
          <w:bCs w:val="0"/>
          <w:sz w:val="24"/>
          <w:szCs w:val="24"/>
        </w:rPr>
        <w:t>（二）2019.03～2019.07</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5211" w:type="dxa"/>
            <w:vAlign w:val="center"/>
          </w:tcPr>
          <w:p>
            <w:pPr>
              <w:jc w:val="center"/>
              <w:rPr>
                <w:rFonts w:ascii="仿宋" w:hAnsi="仿宋" w:eastAsia="仿宋"/>
                <w:b/>
                <w:sz w:val="24"/>
              </w:rPr>
            </w:pPr>
            <w:r>
              <w:rPr>
                <w:rFonts w:hint="eastAsia" w:ascii="仿宋" w:hAnsi="仿宋" w:eastAsia="仿宋"/>
                <w:b/>
                <w:sz w:val="24"/>
              </w:rPr>
              <w:t>任务</w:t>
            </w:r>
          </w:p>
        </w:tc>
        <w:tc>
          <w:tcPr>
            <w:tcW w:w="4253" w:type="dxa"/>
            <w:vAlign w:val="center"/>
          </w:tcPr>
          <w:p>
            <w:pPr>
              <w:jc w:val="center"/>
              <w:rPr>
                <w:rFonts w:ascii="仿宋" w:hAnsi="仿宋" w:eastAsia="仿宋"/>
                <w:b/>
                <w:sz w:val="24"/>
              </w:rPr>
            </w:pPr>
            <w:r>
              <w:rPr>
                <w:rFonts w:hint="eastAsia" w:ascii="仿宋" w:hAnsi="仿宋" w:eastAsia="仿宋"/>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211" w:type="dxa"/>
            <w:vAlign w:val="center"/>
          </w:tcPr>
          <w:p>
            <w:pPr>
              <w:rPr>
                <w:rFonts w:ascii="仿宋" w:hAnsi="仿宋" w:eastAsia="仿宋"/>
                <w:sz w:val="24"/>
                <w:szCs w:val="24"/>
              </w:rPr>
            </w:pPr>
            <w:r>
              <w:rPr>
                <w:rFonts w:hint="eastAsia" w:ascii="仿宋" w:hAnsi="仿宋" w:eastAsia="仿宋"/>
                <w:sz w:val="24"/>
                <w:szCs w:val="24"/>
              </w:rPr>
              <w:t>1.分类培养的引导、确定分流情况</w:t>
            </w:r>
          </w:p>
        </w:tc>
        <w:tc>
          <w:tcPr>
            <w:tcW w:w="4253"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211" w:type="dxa"/>
            <w:vAlign w:val="center"/>
          </w:tcPr>
          <w:p>
            <w:pPr>
              <w:rPr>
                <w:rFonts w:ascii="仿宋" w:hAnsi="仿宋" w:eastAsia="仿宋"/>
                <w:sz w:val="24"/>
                <w:szCs w:val="24"/>
              </w:rPr>
            </w:pPr>
            <w:r>
              <w:rPr>
                <w:rFonts w:hint="eastAsia" w:ascii="仿宋" w:hAnsi="仿宋" w:eastAsia="仿宋"/>
                <w:sz w:val="24"/>
                <w:szCs w:val="24"/>
              </w:rPr>
              <w:t>2.通过内培、外引加强师资队伍建设、创新创业师资队伍建设</w:t>
            </w:r>
          </w:p>
        </w:tc>
        <w:tc>
          <w:tcPr>
            <w:tcW w:w="4253" w:type="dxa"/>
            <w:vAlign w:val="center"/>
          </w:tcPr>
          <w:p>
            <w:pPr>
              <w:adjustRightInd w:val="0"/>
              <w:snapToGrid w:val="0"/>
              <w:rPr>
                <w:rFonts w:ascii="仿宋" w:hAnsi="仿宋" w:eastAsia="仿宋"/>
                <w:sz w:val="24"/>
                <w:szCs w:val="24"/>
              </w:rPr>
            </w:pPr>
            <w:r>
              <w:rPr>
                <w:rFonts w:hint="eastAsia" w:ascii="仿宋" w:hAnsi="仿宋" w:eastAsia="仿宋"/>
                <w:sz w:val="24"/>
                <w:szCs w:val="24"/>
              </w:rPr>
              <w:t>人事处、招就处、试点学院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5211" w:type="dxa"/>
            <w:vAlign w:val="center"/>
          </w:tcPr>
          <w:p>
            <w:pPr>
              <w:rPr>
                <w:rFonts w:ascii="仿宋" w:hAnsi="仿宋" w:eastAsia="仿宋"/>
                <w:sz w:val="24"/>
                <w:szCs w:val="24"/>
              </w:rPr>
            </w:pPr>
            <w:r>
              <w:rPr>
                <w:rFonts w:hint="eastAsia" w:ascii="仿宋" w:hAnsi="仿宋" w:eastAsia="仿宋"/>
                <w:sz w:val="24"/>
                <w:szCs w:val="24"/>
              </w:rPr>
              <w:t>3.搭建创新创业教育实践平台</w:t>
            </w:r>
          </w:p>
        </w:tc>
        <w:tc>
          <w:tcPr>
            <w:tcW w:w="4253" w:type="dxa"/>
            <w:vAlign w:val="center"/>
          </w:tcPr>
          <w:p>
            <w:pPr>
              <w:rPr>
                <w:rFonts w:ascii="仿宋" w:hAnsi="仿宋" w:eastAsia="仿宋"/>
                <w:sz w:val="24"/>
                <w:szCs w:val="24"/>
              </w:rPr>
            </w:pPr>
            <w:r>
              <w:rPr>
                <w:rFonts w:hint="eastAsia" w:ascii="仿宋" w:hAnsi="仿宋" w:eastAsia="仿宋"/>
                <w:sz w:val="24"/>
                <w:szCs w:val="24"/>
              </w:rPr>
              <w:t>教务处、学生处、团委、校地合作处、各二级学院</w:t>
            </w:r>
          </w:p>
        </w:tc>
      </w:tr>
    </w:tbl>
    <w:p>
      <w:pPr>
        <w:pStyle w:val="3"/>
        <w:spacing w:line="520" w:lineRule="exact"/>
        <w:ind w:firstLine="0" w:firstLineChars="0"/>
        <w:rPr>
          <w:rFonts w:ascii="宋体" w:hAnsi="宋体" w:eastAsia="宋体"/>
          <w:bCs w:val="0"/>
          <w:sz w:val="24"/>
          <w:szCs w:val="24"/>
        </w:rPr>
      </w:pPr>
      <w:r>
        <w:rPr>
          <w:rFonts w:hint="eastAsia" w:ascii="宋体" w:hAnsi="宋体" w:eastAsia="宋体"/>
          <w:bCs w:val="0"/>
          <w:sz w:val="24"/>
          <w:szCs w:val="24"/>
        </w:rPr>
        <w:t>（三）2019.09～2020.01</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5382" w:type="dxa"/>
            <w:vAlign w:val="center"/>
          </w:tcPr>
          <w:p>
            <w:pPr>
              <w:jc w:val="center"/>
              <w:rPr>
                <w:rFonts w:ascii="仿宋" w:hAnsi="仿宋" w:eastAsia="仿宋"/>
                <w:b/>
                <w:sz w:val="24"/>
              </w:rPr>
            </w:pPr>
            <w:r>
              <w:rPr>
                <w:rFonts w:hint="eastAsia" w:ascii="仿宋" w:hAnsi="仿宋" w:eastAsia="仿宋"/>
                <w:b/>
                <w:sz w:val="24"/>
              </w:rPr>
              <w:t>任务</w:t>
            </w:r>
          </w:p>
        </w:tc>
        <w:tc>
          <w:tcPr>
            <w:tcW w:w="4082" w:type="dxa"/>
            <w:vAlign w:val="center"/>
          </w:tcPr>
          <w:p>
            <w:pPr>
              <w:jc w:val="center"/>
              <w:rPr>
                <w:rFonts w:ascii="仿宋" w:hAnsi="仿宋" w:eastAsia="仿宋"/>
                <w:b/>
                <w:sz w:val="24"/>
              </w:rPr>
            </w:pPr>
            <w:r>
              <w:rPr>
                <w:rFonts w:hint="eastAsia" w:ascii="仿宋" w:hAnsi="仿宋" w:eastAsia="仿宋"/>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2" w:type="dxa"/>
          </w:tcPr>
          <w:p>
            <w:pPr>
              <w:rPr>
                <w:rFonts w:ascii="仿宋" w:hAnsi="仿宋" w:eastAsia="仿宋"/>
                <w:sz w:val="24"/>
                <w:szCs w:val="24"/>
              </w:rPr>
            </w:pPr>
            <w:r>
              <w:rPr>
                <w:rFonts w:hint="eastAsia" w:ascii="仿宋" w:hAnsi="仿宋" w:eastAsia="仿宋"/>
                <w:sz w:val="24"/>
                <w:szCs w:val="24"/>
              </w:rPr>
              <w:t>1.根据学生自主选择情况，进入不同的培养通道，实施第二阶段:专业教育</w:t>
            </w:r>
          </w:p>
        </w:tc>
        <w:tc>
          <w:tcPr>
            <w:tcW w:w="4082"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5382" w:type="dxa"/>
            <w:vAlign w:val="center"/>
          </w:tcPr>
          <w:p>
            <w:pPr>
              <w:rPr>
                <w:rFonts w:ascii="仿宋" w:hAnsi="仿宋" w:eastAsia="仿宋"/>
                <w:sz w:val="24"/>
                <w:szCs w:val="24"/>
              </w:rPr>
            </w:pPr>
            <w:r>
              <w:rPr>
                <w:rFonts w:hint="eastAsia" w:ascii="仿宋" w:hAnsi="仿宋" w:eastAsia="仿宋"/>
                <w:sz w:val="24"/>
                <w:szCs w:val="24"/>
              </w:rPr>
              <w:t>2.督查试点学院实施情况</w:t>
            </w:r>
          </w:p>
        </w:tc>
        <w:tc>
          <w:tcPr>
            <w:tcW w:w="4082" w:type="dxa"/>
            <w:vAlign w:val="center"/>
          </w:tcPr>
          <w:p>
            <w:pPr>
              <w:rPr>
                <w:rFonts w:ascii="仿宋" w:hAnsi="仿宋" w:eastAsia="仿宋"/>
                <w:sz w:val="24"/>
                <w:szCs w:val="24"/>
              </w:rPr>
            </w:pPr>
            <w:r>
              <w:rPr>
                <w:rFonts w:hint="eastAsia" w:ascii="仿宋" w:hAnsi="仿宋" w:eastAsia="仿宋"/>
                <w:sz w:val="24"/>
                <w:szCs w:val="24"/>
              </w:rPr>
              <w:t>评估处、发展规划处</w:t>
            </w:r>
          </w:p>
        </w:tc>
      </w:tr>
    </w:tbl>
    <w:p>
      <w:pPr>
        <w:pStyle w:val="3"/>
        <w:spacing w:line="520" w:lineRule="exact"/>
        <w:ind w:firstLine="640"/>
        <w:rPr>
          <w:rFonts w:ascii="方正仿宋简体" w:hAnsi="仿宋" w:eastAsia="方正仿宋简体"/>
          <w:bCs w:val="0"/>
          <w:sz w:val="32"/>
        </w:rPr>
      </w:pPr>
    </w:p>
    <w:p>
      <w:pPr>
        <w:pStyle w:val="3"/>
        <w:spacing w:line="520" w:lineRule="exact"/>
        <w:ind w:firstLine="482"/>
        <w:rPr>
          <w:rFonts w:ascii="宋体" w:hAnsi="宋体" w:eastAsia="宋体"/>
          <w:bCs w:val="0"/>
          <w:sz w:val="24"/>
          <w:szCs w:val="24"/>
        </w:rPr>
      </w:pPr>
      <w:r>
        <w:rPr>
          <w:rFonts w:hint="eastAsia" w:ascii="宋体" w:hAnsi="宋体" w:eastAsia="宋体"/>
          <w:bCs w:val="0"/>
          <w:sz w:val="24"/>
          <w:szCs w:val="24"/>
        </w:rPr>
        <w:t>（四）2020.03～2020.07</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5353" w:type="dxa"/>
            <w:vAlign w:val="center"/>
          </w:tcPr>
          <w:p>
            <w:pPr>
              <w:jc w:val="center"/>
              <w:rPr>
                <w:rFonts w:ascii="仿宋" w:hAnsi="仿宋" w:eastAsia="仿宋"/>
                <w:b/>
                <w:sz w:val="24"/>
              </w:rPr>
            </w:pPr>
            <w:r>
              <w:rPr>
                <w:rFonts w:hint="eastAsia" w:ascii="仿宋" w:hAnsi="仿宋" w:eastAsia="仿宋"/>
                <w:b/>
                <w:sz w:val="24"/>
              </w:rPr>
              <w:t>任务</w:t>
            </w:r>
          </w:p>
        </w:tc>
        <w:tc>
          <w:tcPr>
            <w:tcW w:w="4111" w:type="dxa"/>
            <w:vAlign w:val="center"/>
          </w:tcPr>
          <w:p>
            <w:pPr>
              <w:jc w:val="center"/>
              <w:rPr>
                <w:rFonts w:ascii="仿宋" w:hAnsi="仿宋" w:eastAsia="仿宋"/>
                <w:b/>
                <w:sz w:val="24"/>
              </w:rPr>
            </w:pPr>
            <w:r>
              <w:rPr>
                <w:rFonts w:hint="eastAsia" w:ascii="仿宋" w:hAnsi="仿宋" w:eastAsia="仿宋"/>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5353" w:type="dxa"/>
            <w:vAlign w:val="center"/>
          </w:tcPr>
          <w:p>
            <w:pPr>
              <w:rPr>
                <w:rFonts w:ascii="仿宋" w:hAnsi="仿宋" w:eastAsia="仿宋"/>
                <w:sz w:val="24"/>
                <w:szCs w:val="24"/>
              </w:rPr>
            </w:pPr>
            <w:r>
              <w:rPr>
                <w:rFonts w:hint="eastAsia" w:ascii="仿宋" w:hAnsi="仿宋" w:eastAsia="仿宋"/>
                <w:sz w:val="24"/>
                <w:szCs w:val="24"/>
              </w:rPr>
              <w:t>1.继续实施第二阶段:专业教育</w:t>
            </w:r>
          </w:p>
        </w:tc>
        <w:tc>
          <w:tcPr>
            <w:tcW w:w="4111"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353" w:type="dxa"/>
            <w:vAlign w:val="center"/>
          </w:tcPr>
          <w:p>
            <w:pPr>
              <w:rPr>
                <w:rFonts w:ascii="仿宋" w:hAnsi="仿宋" w:eastAsia="仿宋"/>
                <w:sz w:val="24"/>
                <w:szCs w:val="24"/>
              </w:rPr>
            </w:pPr>
            <w:r>
              <w:rPr>
                <w:rFonts w:hint="eastAsia" w:ascii="仿宋" w:hAnsi="仿宋" w:eastAsia="仿宋"/>
                <w:sz w:val="24"/>
                <w:szCs w:val="24"/>
              </w:rPr>
              <w:t>2.遴选第二批5-6个试点学院进行推广</w:t>
            </w:r>
          </w:p>
        </w:tc>
        <w:tc>
          <w:tcPr>
            <w:tcW w:w="4111" w:type="dxa"/>
            <w:vAlign w:val="center"/>
          </w:tcPr>
          <w:p>
            <w:pPr>
              <w:adjustRightInd w:val="0"/>
              <w:snapToGrid w:val="0"/>
              <w:rPr>
                <w:rFonts w:ascii="仿宋" w:hAnsi="仿宋" w:eastAsia="仿宋"/>
                <w:sz w:val="24"/>
                <w:szCs w:val="24"/>
              </w:rPr>
            </w:pPr>
            <w:r>
              <w:rPr>
                <w:rFonts w:hint="eastAsia" w:ascii="仿宋" w:hAnsi="仿宋" w:eastAsia="仿宋"/>
                <w:sz w:val="24"/>
                <w:szCs w:val="24"/>
              </w:rPr>
              <w:t>教务处、发展规划处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5353" w:type="dxa"/>
            <w:vAlign w:val="center"/>
          </w:tcPr>
          <w:p>
            <w:pPr>
              <w:rPr>
                <w:rFonts w:ascii="仿宋" w:hAnsi="仿宋" w:eastAsia="仿宋"/>
                <w:sz w:val="24"/>
                <w:szCs w:val="24"/>
              </w:rPr>
            </w:pPr>
            <w:r>
              <w:rPr>
                <w:rFonts w:hint="eastAsia" w:ascii="仿宋" w:hAnsi="仿宋" w:eastAsia="仿宋"/>
                <w:sz w:val="24"/>
                <w:szCs w:val="24"/>
              </w:rPr>
              <w:t>3.形成“三分式”人才培养改革报告，总结阶段性经验，持续改进、逐步推广</w:t>
            </w:r>
          </w:p>
        </w:tc>
        <w:tc>
          <w:tcPr>
            <w:tcW w:w="4111" w:type="dxa"/>
            <w:vAlign w:val="center"/>
          </w:tcPr>
          <w:p>
            <w:pPr>
              <w:rPr>
                <w:rFonts w:ascii="仿宋" w:hAnsi="仿宋" w:eastAsia="仿宋"/>
                <w:sz w:val="24"/>
                <w:szCs w:val="24"/>
              </w:rPr>
            </w:pPr>
            <w:r>
              <w:rPr>
                <w:rFonts w:hint="eastAsia" w:ascii="仿宋" w:hAnsi="仿宋" w:eastAsia="仿宋"/>
                <w:sz w:val="24"/>
                <w:szCs w:val="24"/>
              </w:rPr>
              <w:t>发展规划处、教务处、试点二级学院、学生处、团委</w:t>
            </w:r>
          </w:p>
        </w:tc>
      </w:tr>
    </w:tbl>
    <w:p>
      <w:pPr>
        <w:pStyle w:val="3"/>
        <w:spacing w:line="520" w:lineRule="exact"/>
        <w:ind w:firstLine="0" w:firstLineChars="0"/>
        <w:rPr>
          <w:rFonts w:ascii="宋体" w:hAnsi="宋体" w:eastAsia="宋体"/>
          <w:bCs w:val="0"/>
          <w:sz w:val="24"/>
          <w:szCs w:val="24"/>
        </w:rPr>
      </w:pPr>
    </w:p>
    <w:p>
      <w:pPr>
        <w:pStyle w:val="3"/>
        <w:spacing w:line="520" w:lineRule="exact"/>
        <w:ind w:firstLine="482"/>
        <w:rPr>
          <w:rFonts w:ascii="宋体" w:hAnsi="宋体" w:eastAsia="宋体"/>
          <w:bCs w:val="0"/>
          <w:sz w:val="24"/>
          <w:szCs w:val="24"/>
        </w:rPr>
      </w:pPr>
      <w:r>
        <w:rPr>
          <w:rFonts w:hint="eastAsia" w:ascii="宋体" w:hAnsi="宋体" w:eastAsia="宋体"/>
          <w:bCs w:val="0"/>
          <w:sz w:val="24"/>
          <w:szCs w:val="24"/>
        </w:rPr>
        <w:t>（五）2020.09～2021.01</w:t>
      </w:r>
    </w:p>
    <w:tbl>
      <w:tblPr>
        <w:tblStyle w:val="1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387" w:type="dxa"/>
            <w:vAlign w:val="center"/>
          </w:tcPr>
          <w:p>
            <w:pPr>
              <w:jc w:val="center"/>
              <w:rPr>
                <w:rFonts w:ascii="仿宋" w:hAnsi="仿宋" w:eastAsia="仿宋"/>
                <w:b/>
                <w:sz w:val="24"/>
              </w:rPr>
            </w:pPr>
            <w:r>
              <w:rPr>
                <w:rFonts w:hint="eastAsia" w:ascii="仿宋" w:hAnsi="仿宋" w:eastAsia="仿宋"/>
                <w:b/>
                <w:sz w:val="24"/>
              </w:rPr>
              <w:t>任务</w:t>
            </w:r>
          </w:p>
        </w:tc>
        <w:tc>
          <w:tcPr>
            <w:tcW w:w="4111" w:type="dxa"/>
            <w:vAlign w:val="center"/>
          </w:tcPr>
          <w:p>
            <w:pPr>
              <w:jc w:val="center"/>
              <w:rPr>
                <w:rFonts w:ascii="仿宋" w:hAnsi="仿宋" w:eastAsia="仿宋"/>
                <w:b/>
                <w:sz w:val="24"/>
              </w:rPr>
            </w:pPr>
            <w:r>
              <w:rPr>
                <w:rFonts w:hint="eastAsia" w:ascii="仿宋" w:hAnsi="仿宋" w:eastAsia="仿宋"/>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387" w:type="dxa"/>
            <w:vAlign w:val="center"/>
          </w:tcPr>
          <w:p>
            <w:pPr>
              <w:rPr>
                <w:rFonts w:ascii="仿宋" w:hAnsi="仿宋" w:eastAsia="仿宋"/>
                <w:sz w:val="24"/>
                <w:szCs w:val="24"/>
              </w:rPr>
            </w:pPr>
            <w:r>
              <w:rPr>
                <w:rFonts w:hint="eastAsia" w:ascii="仿宋" w:hAnsi="仿宋" w:eastAsia="仿宋"/>
                <w:sz w:val="24"/>
                <w:szCs w:val="24"/>
              </w:rPr>
              <w:t>1.继续实施第二阶段:专业教育</w:t>
            </w:r>
          </w:p>
        </w:tc>
        <w:tc>
          <w:tcPr>
            <w:tcW w:w="4111"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387" w:type="dxa"/>
            <w:vAlign w:val="center"/>
          </w:tcPr>
          <w:p>
            <w:pPr>
              <w:rPr>
                <w:rFonts w:ascii="仿宋" w:hAnsi="仿宋" w:eastAsia="仿宋"/>
                <w:sz w:val="24"/>
                <w:szCs w:val="24"/>
              </w:rPr>
            </w:pPr>
            <w:r>
              <w:rPr>
                <w:rFonts w:hint="eastAsia" w:ascii="仿宋" w:hAnsi="仿宋" w:eastAsia="仿宋"/>
                <w:sz w:val="24"/>
                <w:szCs w:val="24"/>
              </w:rPr>
              <w:t>2.形成“三分式”人才培养改革报告，总结阶段性经验，持续改进、逐步推广</w:t>
            </w:r>
          </w:p>
        </w:tc>
        <w:tc>
          <w:tcPr>
            <w:tcW w:w="4111" w:type="dxa"/>
            <w:vAlign w:val="center"/>
          </w:tcPr>
          <w:p>
            <w:pPr>
              <w:rPr>
                <w:rFonts w:ascii="仿宋" w:hAnsi="仿宋" w:eastAsia="仿宋"/>
                <w:sz w:val="24"/>
                <w:szCs w:val="24"/>
              </w:rPr>
            </w:pPr>
            <w:r>
              <w:rPr>
                <w:rFonts w:hint="eastAsia" w:ascii="仿宋" w:hAnsi="仿宋" w:eastAsia="仿宋"/>
                <w:sz w:val="24"/>
                <w:szCs w:val="24"/>
              </w:rPr>
              <w:t>发展规划处、教务处、试点二级学院、学生处、团委</w:t>
            </w:r>
          </w:p>
        </w:tc>
      </w:tr>
    </w:tbl>
    <w:p>
      <w:pPr>
        <w:pStyle w:val="3"/>
        <w:spacing w:line="520" w:lineRule="exact"/>
        <w:ind w:firstLine="482"/>
        <w:rPr>
          <w:rFonts w:ascii="宋体" w:hAnsi="宋体" w:eastAsia="宋体"/>
          <w:sz w:val="24"/>
          <w:szCs w:val="24"/>
        </w:rPr>
      </w:pPr>
    </w:p>
    <w:p>
      <w:pPr>
        <w:pStyle w:val="3"/>
        <w:spacing w:line="520" w:lineRule="exact"/>
        <w:ind w:firstLine="482"/>
        <w:rPr>
          <w:rFonts w:ascii="宋体" w:hAnsi="宋体" w:eastAsia="宋体"/>
          <w:bCs w:val="0"/>
          <w:sz w:val="24"/>
          <w:szCs w:val="24"/>
        </w:rPr>
      </w:pPr>
      <w:r>
        <w:rPr>
          <w:rFonts w:hint="eastAsia" w:ascii="宋体" w:hAnsi="宋体" w:eastAsia="宋体"/>
          <w:bCs w:val="0"/>
          <w:sz w:val="24"/>
          <w:szCs w:val="24"/>
        </w:rPr>
        <w:t>（六）2021.03～2022.07</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353" w:type="dxa"/>
            <w:vAlign w:val="center"/>
          </w:tcPr>
          <w:p>
            <w:pPr>
              <w:jc w:val="center"/>
              <w:rPr>
                <w:rFonts w:ascii="仿宋" w:hAnsi="仿宋" w:eastAsia="仿宋"/>
                <w:b/>
                <w:sz w:val="24"/>
              </w:rPr>
            </w:pPr>
            <w:r>
              <w:rPr>
                <w:rFonts w:hint="eastAsia" w:ascii="仿宋" w:hAnsi="仿宋" w:eastAsia="仿宋"/>
                <w:b/>
                <w:sz w:val="24"/>
              </w:rPr>
              <w:t>任务</w:t>
            </w:r>
          </w:p>
        </w:tc>
        <w:tc>
          <w:tcPr>
            <w:tcW w:w="4111" w:type="dxa"/>
            <w:vAlign w:val="center"/>
          </w:tcPr>
          <w:p>
            <w:pPr>
              <w:jc w:val="center"/>
              <w:rPr>
                <w:rFonts w:ascii="仿宋" w:hAnsi="仿宋" w:eastAsia="仿宋"/>
                <w:b/>
                <w:sz w:val="24"/>
              </w:rPr>
            </w:pPr>
            <w:r>
              <w:rPr>
                <w:rFonts w:hint="eastAsia" w:ascii="仿宋" w:hAnsi="仿宋" w:eastAsia="仿宋"/>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5353" w:type="dxa"/>
            <w:vAlign w:val="center"/>
          </w:tcPr>
          <w:p>
            <w:pPr>
              <w:rPr>
                <w:rFonts w:ascii="仿宋" w:hAnsi="仿宋" w:eastAsia="仿宋"/>
                <w:sz w:val="24"/>
                <w:szCs w:val="24"/>
              </w:rPr>
            </w:pPr>
            <w:r>
              <w:rPr>
                <w:rFonts w:hint="eastAsia" w:ascii="仿宋" w:hAnsi="仿宋" w:eastAsia="仿宋"/>
                <w:sz w:val="24"/>
                <w:szCs w:val="24"/>
              </w:rPr>
              <w:t>1.实施第三阶段:能力提升</w:t>
            </w:r>
          </w:p>
        </w:tc>
        <w:tc>
          <w:tcPr>
            <w:tcW w:w="4111" w:type="dxa"/>
            <w:vAlign w:val="center"/>
          </w:tcPr>
          <w:p>
            <w:pPr>
              <w:rPr>
                <w:rFonts w:ascii="仿宋" w:hAnsi="仿宋" w:eastAsia="仿宋"/>
                <w:sz w:val="24"/>
                <w:szCs w:val="24"/>
              </w:rPr>
            </w:pPr>
            <w:r>
              <w:rPr>
                <w:rFonts w:hint="eastAsia" w:ascii="仿宋" w:hAnsi="仿宋" w:eastAsia="仿宋"/>
                <w:sz w:val="24"/>
                <w:szCs w:val="24"/>
              </w:rPr>
              <w:t>教务处、试点学院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353" w:type="dxa"/>
            <w:vAlign w:val="center"/>
          </w:tcPr>
          <w:p>
            <w:pPr>
              <w:rPr>
                <w:rFonts w:ascii="仿宋" w:hAnsi="仿宋" w:eastAsia="仿宋"/>
                <w:sz w:val="24"/>
                <w:szCs w:val="24"/>
              </w:rPr>
            </w:pPr>
            <w:r>
              <w:rPr>
                <w:rFonts w:hint="eastAsia" w:ascii="仿宋" w:hAnsi="仿宋" w:eastAsia="仿宋"/>
                <w:sz w:val="24"/>
                <w:szCs w:val="24"/>
              </w:rPr>
              <w:t>2.形成教育综合改革试点项目研究报告</w:t>
            </w:r>
          </w:p>
        </w:tc>
        <w:tc>
          <w:tcPr>
            <w:tcW w:w="4111" w:type="dxa"/>
            <w:vAlign w:val="center"/>
          </w:tcPr>
          <w:p>
            <w:pPr>
              <w:rPr>
                <w:rFonts w:ascii="仿宋" w:hAnsi="仿宋" w:eastAsia="仿宋"/>
                <w:sz w:val="24"/>
                <w:szCs w:val="24"/>
              </w:rPr>
            </w:pPr>
            <w:r>
              <w:rPr>
                <w:rFonts w:hint="eastAsia" w:ascii="仿宋" w:hAnsi="仿宋" w:eastAsia="仿宋"/>
                <w:sz w:val="24"/>
                <w:szCs w:val="24"/>
              </w:rPr>
              <w:t>发展规划处、教务处、试点二级学院、学生处、团委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353" w:type="dxa"/>
            <w:vAlign w:val="center"/>
          </w:tcPr>
          <w:p>
            <w:pPr>
              <w:rPr>
                <w:rFonts w:ascii="仿宋" w:hAnsi="仿宋" w:eastAsia="仿宋"/>
                <w:sz w:val="24"/>
                <w:szCs w:val="24"/>
              </w:rPr>
            </w:pPr>
            <w:r>
              <w:rPr>
                <w:rFonts w:hint="eastAsia" w:ascii="仿宋" w:hAnsi="仿宋" w:eastAsia="仿宋"/>
                <w:sz w:val="24"/>
                <w:szCs w:val="24"/>
              </w:rPr>
              <w:t>3.优化第一、二课堂课程体系</w:t>
            </w:r>
          </w:p>
        </w:tc>
        <w:tc>
          <w:tcPr>
            <w:tcW w:w="4111" w:type="dxa"/>
            <w:vAlign w:val="center"/>
          </w:tcPr>
          <w:p>
            <w:pPr>
              <w:rPr>
                <w:rFonts w:ascii="仿宋" w:hAnsi="仿宋" w:eastAsia="仿宋"/>
                <w:sz w:val="24"/>
                <w:szCs w:val="24"/>
              </w:rPr>
            </w:pPr>
            <w:r>
              <w:rPr>
                <w:rFonts w:hint="eastAsia" w:ascii="仿宋" w:hAnsi="仿宋" w:eastAsia="仿宋"/>
                <w:sz w:val="24"/>
                <w:szCs w:val="24"/>
              </w:rPr>
              <w:t>教务处、学生处</w:t>
            </w:r>
            <w:r>
              <w:rPr>
                <w:rFonts w:hint="eastAsia" w:ascii="仿宋" w:hAnsi="仿宋" w:eastAsia="仿宋"/>
                <w:color w:val="000000"/>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5353" w:type="dxa"/>
            <w:vAlign w:val="center"/>
          </w:tcPr>
          <w:p>
            <w:pPr>
              <w:rPr>
                <w:rFonts w:ascii="仿宋" w:hAnsi="仿宋" w:eastAsia="仿宋"/>
                <w:sz w:val="24"/>
                <w:szCs w:val="24"/>
              </w:rPr>
            </w:pPr>
            <w:r>
              <w:rPr>
                <w:rFonts w:hint="eastAsia" w:ascii="仿宋" w:hAnsi="仿宋" w:eastAsia="仿宋"/>
                <w:sz w:val="24"/>
                <w:szCs w:val="24"/>
              </w:rPr>
              <w:t>4.督查试点学院实施情况</w:t>
            </w:r>
          </w:p>
        </w:tc>
        <w:tc>
          <w:tcPr>
            <w:tcW w:w="4111" w:type="dxa"/>
            <w:vAlign w:val="center"/>
          </w:tcPr>
          <w:p>
            <w:pPr>
              <w:rPr>
                <w:rFonts w:ascii="仿宋" w:hAnsi="仿宋" w:eastAsia="仿宋"/>
                <w:sz w:val="24"/>
                <w:szCs w:val="24"/>
              </w:rPr>
            </w:pPr>
            <w:r>
              <w:rPr>
                <w:rFonts w:hint="eastAsia" w:ascii="仿宋" w:hAnsi="仿宋" w:eastAsia="仿宋"/>
                <w:sz w:val="24"/>
                <w:szCs w:val="24"/>
              </w:rPr>
              <w:t>评估处、发展规划处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353" w:type="dxa"/>
            <w:vAlign w:val="center"/>
          </w:tcPr>
          <w:p>
            <w:pPr>
              <w:rPr>
                <w:rFonts w:ascii="仿宋" w:hAnsi="仿宋" w:eastAsia="仿宋"/>
                <w:sz w:val="24"/>
                <w:szCs w:val="24"/>
              </w:rPr>
            </w:pPr>
            <w:r>
              <w:rPr>
                <w:rFonts w:hint="eastAsia" w:ascii="仿宋" w:hAnsi="仿宋" w:eastAsia="仿宋"/>
                <w:sz w:val="24"/>
                <w:szCs w:val="24"/>
              </w:rPr>
              <w:t>5.完善教育综合改革机制体制</w:t>
            </w:r>
          </w:p>
        </w:tc>
        <w:tc>
          <w:tcPr>
            <w:tcW w:w="4111" w:type="dxa"/>
            <w:vAlign w:val="center"/>
          </w:tcPr>
          <w:p>
            <w:pPr>
              <w:rPr>
                <w:rFonts w:ascii="仿宋" w:hAnsi="仿宋" w:eastAsia="仿宋"/>
                <w:sz w:val="24"/>
                <w:szCs w:val="24"/>
              </w:rPr>
            </w:pPr>
            <w:r>
              <w:rPr>
                <w:rFonts w:hint="eastAsia" w:ascii="仿宋" w:hAnsi="仿宋" w:eastAsia="仿宋"/>
                <w:sz w:val="24"/>
                <w:szCs w:val="24"/>
              </w:rPr>
              <w:t>党委（校长）办公室、发展规划处、相关部门</w:t>
            </w:r>
          </w:p>
        </w:tc>
      </w:tr>
    </w:tbl>
    <w:p>
      <w:pPr>
        <w:spacing w:before="156" w:beforeLines="50" w:after="156" w:afterLines="50"/>
        <w:rPr>
          <w:rFonts w:ascii="仿宋" w:hAnsi="仿宋" w:eastAsia="仿宋"/>
          <w:sz w:val="24"/>
          <w:szCs w:val="24"/>
        </w:rPr>
      </w:pPr>
      <w:r>
        <w:rPr>
          <w:rFonts w:hint="eastAsia" w:ascii="仿宋" w:hAnsi="仿宋" w:eastAsia="仿宋"/>
          <w:sz w:val="24"/>
          <w:szCs w:val="24"/>
        </w:rPr>
        <w:t>说明：第一责任单位为牵头单位。</w:t>
      </w:r>
    </w:p>
    <w:p>
      <w:pPr>
        <w:rPr>
          <w:rFonts w:ascii="方正仿宋简体" w:eastAsia="方正仿宋简体"/>
          <w:sz w:val="32"/>
          <w:szCs w:val="32"/>
        </w:rPr>
      </w:pPr>
    </w:p>
    <w:p>
      <w:pPr>
        <w:wordWrap w:val="0"/>
        <w:jc w:val="right"/>
        <w:rPr>
          <w:rFonts w:ascii="方正仿宋简体" w:eastAsia="方正仿宋简体"/>
          <w:sz w:val="32"/>
          <w:szCs w:val="32"/>
        </w:rPr>
      </w:pPr>
      <w:r>
        <w:rPr>
          <w:rFonts w:hint="eastAsia" w:ascii="方正仿宋简体" w:eastAsia="方正仿宋简体"/>
          <w:sz w:val="32"/>
          <w:szCs w:val="32"/>
        </w:rPr>
        <w:t xml:space="preserve">  </w:t>
      </w:r>
    </w:p>
    <w:p>
      <w:pPr>
        <w:wordWrap w:val="0"/>
        <w:jc w:val="right"/>
        <w:rPr>
          <w:rFonts w:ascii="方正仿宋简体" w:eastAsia="方正仿宋简体"/>
          <w:sz w:val="24"/>
          <w:szCs w:val="24"/>
        </w:rPr>
      </w:pPr>
      <w:r>
        <w:rPr>
          <w:rFonts w:hint="eastAsia" w:ascii="方正仿宋简体" w:eastAsia="方正仿宋简体"/>
          <w:sz w:val="24"/>
          <w:szCs w:val="24"/>
        </w:rPr>
        <w:t xml:space="preserve">2018年9月20日        </w:t>
      </w:r>
    </w:p>
    <w:p>
      <w:pPr>
        <w:spacing w:line="360" w:lineRule="auto"/>
        <w:rPr>
          <w:rFonts w:asciiTheme="minorEastAsia" w:hAnsiTheme="minorEastAsia"/>
          <w:sz w:val="24"/>
          <w:szCs w:val="24"/>
        </w:rPr>
      </w:pPr>
      <w:r>
        <w:rPr>
          <w:rFonts w:asciiTheme="minorEastAsia" w:hAnsiTheme="minorEastAsia"/>
          <w:sz w:val="24"/>
          <w:szCs w:val="24"/>
        </w:rPr>
        <w:br w:type="page"/>
      </w:r>
    </w:p>
    <w:p>
      <w:pPr>
        <w:pStyle w:val="19"/>
        <w:spacing w:line="560" w:lineRule="exact"/>
        <w:ind w:firstLine="0" w:firstLineChars="0"/>
        <w:jc w:val="center"/>
        <w:rPr>
          <w:rFonts w:asciiTheme="majorEastAsia" w:hAnsiTheme="majorEastAsia" w:eastAsiaTheme="majorEastAsia"/>
          <w:b/>
          <w:w w:val="90"/>
          <w:sz w:val="32"/>
          <w:szCs w:val="32"/>
        </w:rPr>
      </w:pPr>
      <w:r>
        <w:rPr>
          <w:rFonts w:hint="eastAsia" w:asciiTheme="majorEastAsia" w:hAnsiTheme="majorEastAsia" w:eastAsiaTheme="majorEastAsia"/>
          <w:b/>
          <w:w w:val="90"/>
          <w:sz w:val="32"/>
          <w:szCs w:val="32"/>
        </w:rPr>
        <w:t>内江师范学院学生学籍管理规定</w:t>
      </w:r>
    </w:p>
    <w:p>
      <w:pPr>
        <w:widowControl/>
        <w:spacing w:line="560" w:lineRule="exact"/>
        <w:jc w:val="center"/>
        <w:rPr>
          <w:rFonts w:cs="宋体" w:asciiTheme="minorEastAsia" w:hAnsiTheme="minorEastAsia"/>
          <w:b/>
          <w:kern w:val="0"/>
          <w:sz w:val="28"/>
          <w:szCs w:val="28"/>
        </w:rPr>
      </w:pPr>
      <w:r>
        <w:rPr>
          <w:rFonts w:hint="eastAsia" w:ascii="仿宋_GB2312" w:hAnsi="宋体" w:eastAsia="仿宋_GB2312"/>
          <w:szCs w:val="32"/>
        </w:rPr>
        <w:tab/>
      </w:r>
      <w:r>
        <w:rPr>
          <w:rFonts w:hint="eastAsia" w:cs="宋体" w:asciiTheme="minorEastAsia" w:hAnsiTheme="minorEastAsia"/>
          <w:b/>
          <w:kern w:val="0"/>
          <w:sz w:val="28"/>
          <w:szCs w:val="28"/>
        </w:rPr>
        <w:t>内师院发〔</w:t>
      </w:r>
      <w:r>
        <w:rPr>
          <w:rFonts w:cs="宋体" w:asciiTheme="minorEastAsia" w:hAnsiTheme="minorEastAsia"/>
          <w:b/>
          <w:kern w:val="0"/>
          <w:sz w:val="28"/>
          <w:szCs w:val="28"/>
        </w:rPr>
        <w:t>2017〕</w:t>
      </w:r>
      <w:r>
        <w:rPr>
          <w:rFonts w:hint="eastAsia" w:cs="宋体" w:asciiTheme="minorEastAsia" w:hAnsiTheme="minorEastAsia"/>
          <w:b/>
          <w:kern w:val="0"/>
          <w:sz w:val="28"/>
          <w:szCs w:val="28"/>
        </w:rPr>
        <w:t>93</w:t>
      </w:r>
      <w:r>
        <w:rPr>
          <w:rFonts w:cs="宋体" w:asciiTheme="minorEastAsia" w:hAnsiTheme="minorEastAsia"/>
          <w:b/>
          <w:kern w:val="0"/>
          <w:sz w:val="28"/>
          <w:szCs w:val="28"/>
        </w:rPr>
        <w:t>号</w:t>
      </w:r>
    </w:p>
    <w:p>
      <w:pPr>
        <w:widowControl/>
        <w:spacing w:line="560" w:lineRule="exact"/>
        <w:jc w:val="center"/>
        <w:rPr>
          <w:rFonts w:cs="宋体" w:asciiTheme="minorEastAsia" w:hAnsiTheme="minorEastAsia"/>
          <w:b/>
          <w:kern w:val="0"/>
          <w:sz w:val="30"/>
          <w:szCs w:val="30"/>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全面贯彻国家教育方针，规范普通高等学校学生管理行为，维护学校正常的教育教学秩序和生活秩序，树立良好学风，不断提高教育教学质量，保障学生合法权益，促进学生的全面发展，依据教育部《普通高等学校学生管理规定》（教育部令第41 号）和《内江师范学院学生管理规定（修订）》（内师院发〔</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90号），制定本规定。</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第一章  入学与注册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第一条 录取为我校的新生须持《内江师范学院新生录取通知书》和其他有关证件，按照规定的日期来校报到，办理入学手续。如有特殊原因不能按期报到者，须事先向学校书面请假，假期不能超过两周。除因不可抗力等正当事由以外，未请假或者请假逾期者，视为放弃入学资格。</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第二条 招生部门应对新生入学资格进行初步审查，审查其录取手续及程序是否合乎国家招生规定，录取资格是否真实并合乎规定，录取通知、考生信息等证明材料与本人实际情况是否相符，审查合格的办理入学手续，予以注册，取得内江师范学院学籍；审查证明材料与本人实际情况不符，或者有其他违反国家招生考试规定情形的，取消入学资格。</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第三条 新生可以申请保留入学资格，保留入学资格期间不具有学籍，不享受在校学生待遇。保留入学资格要求如下：</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新生参军入伍，应于录取当年按规定时间持各地人民政府征兵办公室出具的入伍证明、《应征入伍普通高等学校录取新生保留入学资格申请表》、《内江师范学院录取通知书》等材料经学校武装部审核通过后，到教务处办理保留入学资格手续。</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入伍新生在退役后两年内，可在退役当年或第二年新生入学期间，持《内江师范学院录取通知书》、《内江师范学院保留入学资格通知书》和《中国人民解放军义务兵退出现役证》到学校教务处办理入学手续。逾期不办理入学手续且未有因不可抗力延迟等正当理由的，视为放弃入学资格。</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（二）新生入学报到期间，因身心健康原因需休养治疗时间两周以上者，可于新生报到入学两周内持二级甲等及以上医院（以下简称医院）诊断证明，申请保留入学资格一年。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保留入学资格期满后可在下一学年开学两周内，持学校指定的医院康复证明向学校教务处提交入学申请，经学校审查合格后，办理入学手续。审查不合格的，取消入学资格；逾期不办理入学手续且未有因不可抗力延迟等正当理由的，视为放弃入学资格。</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第四条 新生入学三个月内，应当进行复查，复查内容如下：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（一）由各二级学院负责组织进行新生本人及身份证明与录取通知、考生档案等是否一致的复查工作；</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（二）由学生处和相关部门组织进行新生身心健康状况是否符合报考专业或者专业类别体检要求、能否保证在校正常学习生活的复查工作；</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（三）由招生部门和相关二级学院负责组织艺术、体育等特殊类型录取学生的专业水平复查。</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凡属弄虚作假、徇私舞弊被录取或取得学籍者，一经查实，取消其学籍，情节严重的，移交有关部门调查处理。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新生在健康复查中，如发现其入学前就患有疾病，身心状况不适宜在校学习的，经学校指定医院诊断证明，在短期内能治愈的，经二级学院初审，报教务处批准后，可保留入学资格一年。保留入学资格的新生应立即办理离校手续，回家修养，两周内无故不办理离校手续者，取消其入学资格。保留入学资格的学生在规定时间内经治疗康复，可在下一学年开学前向学校教务处提交入学申请，经学校指定医院诊断，符合体检要求，经学校复查合格后，可重新办理入学手续。复查不合格的，取消其入学资格；逾期不办理入学手续且未有因不可抗力延迟等正当理由的，视为放弃入学资格。</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第五条 学生有缴纳学费的义务。学生在学校规定时间内，按照物价局等有关部门文件规定标准缴纳学费及有关费用。每学期开学时，学生应当按学校规定办理注册手续。注册后方可取得学习资格。不能如期注册者，应当履行暂缓注册手续。未按学校规定缴纳学费或者有其他不符合注册条件的学生不予注册。家庭经济困难的学生可以申请助学贷款或者其他形式资助，办理有关手续后注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第六条 注册手续不得由他人代办。因故不能如期到校注册者，必须履行请假手续，否则，以旷课论处。未经请假或超过假期达到两周及以上未注册者，应予退学。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学校按照教育部</w:t>
      </w:r>
      <w:r>
        <w:rPr>
          <w:rFonts w:asciiTheme="minorEastAsia" w:hAnsiTheme="minorEastAsia" w:eastAsiaTheme="minorEastAsia"/>
          <w:sz w:val="24"/>
          <w:szCs w:val="24"/>
        </w:rPr>
        <w:t>《高等学校学生学籍学历电子注册办法》</w:t>
      </w:r>
      <w:r>
        <w:rPr>
          <w:rFonts w:hint="eastAsia" w:asciiTheme="minorEastAsia" w:hAnsiTheme="minorEastAsia" w:eastAsiaTheme="minorEastAsia"/>
          <w:sz w:val="24"/>
          <w:szCs w:val="24"/>
        </w:rPr>
        <w:t>（教学〔2014〕11号）文件，在教育部指定的中国高等教育学生信息网，对复查合格的新生进行学籍电子注册，对在校学生的学籍及异动情况进行学年电子注册，对取得毕（结）业证书学生的学历信息进行学历电子注册。</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第二章  学制与学习年限</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第七条 学校</w:t>
      </w:r>
      <w:bookmarkStart w:id="23" w:name="OLE_LINK11"/>
      <w:bookmarkStart w:id="24" w:name="OLE_LINK10"/>
      <w:r>
        <w:rPr>
          <w:rFonts w:hint="eastAsia" w:asciiTheme="minorEastAsia" w:hAnsiTheme="minorEastAsia" w:eastAsiaTheme="minorEastAsia"/>
          <w:sz w:val="24"/>
          <w:szCs w:val="24"/>
        </w:rPr>
        <w:t>本科学制</w:t>
      </w:r>
      <w:bookmarkEnd w:id="23"/>
      <w:bookmarkEnd w:id="24"/>
      <w:r>
        <w:rPr>
          <w:rFonts w:hint="eastAsia" w:asciiTheme="minorEastAsia" w:hAnsiTheme="minorEastAsia" w:eastAsiaTheme="minorEastAsia"/>
          <w:sz w:val="24"/>
          <w:szCs w:val="24"/>
        </w:rPr>
        <w:t>为四年，专科为三年。学校实行灵活的学习制度，允许学生提前一年或推后一至二年毕业。学校规定四年制本科学生学习年限最短为三年，最长为六年；三年制专科学生学习年限最短为两年，最长为四年；专科毕业生进入本科阶段学习的学生学习年限最短为两年，最长为三年；五年一贯制学生专科阶段学习年限最短为两年，最长为三年。以上学习年限，不含参军服役和休学创业时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第八条 本科生在校学习的年限为该专业学制对应的年限。学生提前毕业或延期毕业，必须向学校提交申请，学校批准后可以缩短或延长学习年限。申请提前毕业按《内江师范学院普通全日制本科生学制内提前毕业管理办法（修订）》办理。</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第三章  课程修读</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第九条 课程修读要求</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（一）学生应遵照循序渐进的原则，按照专业培养方案各课程模块规定的顺序和要求修读课程。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（二）学生每学期修读的学分原则上不少于18学分，不超过30分。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（三）学有余力的学生可以结合课程先修后续关系提前修读课程；学有困难的学生可以推后或缓修课程。提前和延后修读应制定相应修读计划。</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选课分正选和补退选两个阶段。学生应按学校规定的时间选课，选课须在指导教师的指导下进行。凡规定有先修课程的，应取得先修课程学分后方可选修后续课程。已选课程若未退选即放弃听课或课程考核的，作旷课或旷考处理;未选课而参加听课、考核者，其考核成绩无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（五）学生可以根据学校有关规定，申请辅修校内其他专业或者选修其他专业课程。</w:t>
      </w:r>
    </w:p>
    <w:p>
      <w:pPr>
        <w:tabs>
          <w:tab w:val="left" w:pos="1470"/>
          <w:tab w:val="left" w:pos="162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（六）学生参加以下几种情况学习，根据学校相关文件，经审核后可予认定学分：</w:t>
      </w:r>
    </w:p>
    <w:p>
      <w:pPr>
        <w:tabs>
          <w:tab w:val="left" w:pos="1470"/>
          <w:tab w:val="left" w:pos="162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参加国际交流（留学）项目出国学习并在国外取得的学分。具体按照《内江师范学院出国（境）留学（交流）项目学生管理暂行办法》认定学分。</w:t>
      </w:r>
    </w:p>
    <w:p>
      <w:pPr>
        <w:tabs>
          <w:tab w:val="left" w:pos="1470"/>
          <w:tab w:val="left" w:pos="162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在与我校签署过合作协议的学校修读课程取得的学分。</w:t>
      </w:r>
    </w:p>
    <w:p>
      <w:pPr>
        <w:tabs>
          <w:tab w:val="left" w:pos="1470"/>
          <w:tab w:val="left" w:pos="162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参加学校认可的开放式网络课程学习并取得的学分。</w:t>
      </w:r>
    </w:p>
    <w:p>
      <w:pPr>
        <w:tabs>
          <w:tab w:val="left" w:pos="1470"/>
          <w:tab w:val="left" w:pos="162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（七）学生参加创新创业、社会实践等活动以及发表论文、获得专利授权等与专业学习、学业要求相关的经历、成果，折算为学分，计入学业成绩。具体办法按照学校相关文件执行。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第十条 课程的免听和免修</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免听：上一学期平均学分绩点在3.0及以上的学生可在开学第一周内书面提出免听某门课程的申请，经任课教师同意，二级学院审批，教务处备案后，可以免听全部或部分课堂理论教学内容（思想政治理论课、体育及本门课程规定的实践教学、实践性教学环节等除外）。批准免听者，应按时完成作业和课程实践教学环节，方可取得参加该门课程考核资格。每学期免听课程学分不超过4学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免修：学生因生理缺陷或患有某种疾病，不能参加某门课程学习，经医院出具证明，可申请免修；免修该门课程须经本人申请、所在二级学院签署意见、教务处备案。免修课程应与该门课程同期学生的考核同时进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（三）学生确属健康原因，经医院证明，学生所在二级学院审核，教务处批准，《大学体育》课程可以采用跟班见习方式修读，根据学生上课平时表现和课堂大作业方式综合评定成绩。</w:t>
      </w:r>
    </w:p>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学生在校期间取得计算机等级证书，可申请免修免考《大学计算机》课程；取得大学英语等级证书，可免修免考《大学外语》课程，具体按照《内江师范学院计算机等级证书和大学英语等级成绩认定的办法》认定学分和成绩。</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课程免修的具体条件和程序按照《内江师范学院关于课程免修的规定》办理。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第十一条 课程的补考和重修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学生课程考核不合格可允许补考或重修。补考成绩合格者，认定该门课程成绩合格并取得相应学分（学分绩点为0.67，记60分），课程成绩注明“补考”字样；补考不合格者，则必须重修。实践教学环节考核不合格必须重修。综合素质选修课程考核不合格，不安排补考，应重选或另选课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（二）一门课程（含实验课）缺课学时累计达到该门课程总学时数的1/3及以上者（获准部分免听者除外），取消该门课程考试资格，该门课程须重修；无故缺考，该门课程须重修。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（三）重修学生可以根据已掌握该课程的程度，由本人提出申请，经主讲教师同意，开课单位签署意见，可部分免听该课程，并由主讲教师确定其参考资格。</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（四）重修课程成绩不合格，可继续申请重修，课程成绩以最高分记入档案，注明“重修”字样。</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（五）对课程学习效果不满意，允许申请重修，课程成绩以最高分记入档案，注明“重修”字样。</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（六）重修课程由各开课单位根据实际情况，可采取随班听课、自学与教师辅导相结合等形式进行。</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第四章  考核与成绩记载</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第十二条 学生应当参加学校专业培养方案规定的课程和各种教育教学环节（以下统称课程）的考核。考核分为考试和考查两种。考核合格方可获得该门课程的学分；考核不合格，不能获得该门课程的学分，待补考或重修合格后方可获得该门课程的学分。学生的学业成绩应真实、完整地记载并记入成绩册，学生中文成绩单在学生毕业时归入其个人档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第十三条 课程考核方式可采用笔试（闭卷或开卷）、口试、计算机考试、课程论文等多种形式，每门课程笔试时间一般为两小时。任课教师可根据课程特点提出考核方式的建议意见，经教研室主任批准同意、二级学院院长或分管教学工作的副院长审定，报教务处备案方可执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第十四条 课程成绩可以采用百分制、等第制或五级制记分，根据平时考勤、测验、作业、实验成绩、期末考核成绩等综合评定。</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第十五条 学生思想品德的考核、鉴定，要以《普通高等学校学生管理规定》（教育部令第41 号）第四条为主要依据，采取个人小结，师生民主评议等形式进行。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体育成绩评定要突出过程管理，成绩要以考勤、课内教学、课外锻炼活动和体质健康等情况综合评定。学生在校期间，必须按照《国家学生体质健康标准（2014年修订）》(教体艺〔2014〕5号)文件要求，每年参加体质健康测试。测试成绩列入学生成绩档案，作为学生评优、评奖、毕业的重要依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实践性课程（如实验、实习）的成绩可根据课内外作业、平时测验、实习和实验报告及实际表现等综合评定。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第十六条 旷课。学生无故缺课累计超过该门课程总学时数的三分之一及以上时，除按规定给予纪律处分外，不得参加该课程考试，必须重修。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第十七条 缓考。学生确有特殊情况不能按时参加考试，须至少在开考两日前书面申请缓考。因病申请缓考须有医院证明。除不可抗力因素外，学生在课程开考后交送的病假证明无效。突发意外事件或急病来不及事先提出缓考申请者，须在本门课程考试结束后三日内持相关证明由本人或委托他人办理缓考手续。申请缓考，须由各二级学院签署意见后，报教务处批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被批准缓考者须向二级学院、教务处申请参加下一次该门课程的考试。学生在校期间未完成该门课程的考试，“缓考”成绩将自动转换为“0”。</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擅自不参加考试者均以旷考论处。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第十八条 旷考。凡旷考的学生，该次课程考核成绩以“0”分记，并计入该课程总成绩的评定。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第十九 条考核违规的处理。学生必须严格遵守考核纪律，严禁违纪作弊。在课程考核过程中，学生考试违纪或者作弊的，该课程考核成绩以“</w:t>
      </w:r>
      <w:r>
        <w:rPr>
          <w:rFonts w:asciiTheme="minorEastAsia" w:hAnsiTheme="minorEastAsia" w:eastAsiaTheme="minorEastAsia"/>
          <w:sz w:val="24"/>
          <w:szCs w:val="24"/>
        </w:rPr>
        <w:t>0”分记，并根据《内江师范学院学生考试违规处理办法(修订)》给予相应的纪律处分</w:t>
      </w:r>
      <w:r>
        <w:rPr>
          <w:rFonts w:hint="eastAsia" w:asciiTheme="minorEastAsia" w:hAnsiTheme="minorEastAsia" w:eastAsiaTheme="minorEastAsia"/>
          <w:sz w:val="24"/>
          <w:szCs w:val="24"/>
        </w:rPr>
        <w:t>，经教育表现较好，可以对该课程给予补考或重修机会。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第二十条 学生因退学等情况中止学业，其在校学习期间所修课程及已获得学分，应当予以记录。学生重新参加入学考试、符合录取条件，再次入学的，其已获得学分，应根据学生考入专业培养方案的要求，认定学生退学原专业获得的部分相同课程学分替代本专业的课程学分。其余课程经二级学院初审，教务处审批后，可认定为综合素质选修课程学分，记入学生成绩档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第二十一条 学分绩点。采用平均学分绩点衡量学生学习质量，全部课程都参与计算。</w:t>
      </w:r>
    </w:p>
    <w:p>
      <w:pPr>
        <w:pStyle w:val="1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（一）绩点与成绩的换算关系如表1。</w:t>
      </w:r>
    </w:p>
    <w:p>
      <w:pPr>
        <w:pStyle w:val="19"/>
        <w:spacing w:line="360" w:lineRule="auto"/>
        <w:ind w:left="147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表1 考核成绩与课程绩点折算表</w:t>
      </w:r>
    </w:p>
    <w:tbl>
      <w:tblPr>
        <w:tblStyle w:val="15"/>
        <w:tblW w:w="8613"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985"/>
        <w:gridCol w:w="2126"/>
        <w:gridCol w:w="212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tcPr>
          <w:p>
            <w:pPr>
              <w:widowControl/>
              <w:spacing w:line="360" w:lineRule="auto"/>
              <w:jc w:val="center"/>
              <w:rPr>
                <w:rFonts w:asciiTheme="minorEastAsia" w:hAnsiTheme="minorEastAsia"/>
                <w:caps/>
                <w:sz w:val="24"/>
                <w:szCs w:val="24"/>
              </w:rPr>
            </w:pPr>
            <w:r>
              <w:rPr>
                <w:rFonts w:hint="eastAsia" w:asciiTheme="minorEastAsia" w:hAnsiTheme="minorEastAsia"/>
                <w:sz w:val="24"/>
                <w:szCs w:val="24"/>
              </w:rPr>
              <w:t>百分制成绩</w:t>
            </w:r>
          </w:p>
        </w:tc>
        <w:tc>
          <w:tcPr>
            <w:tcW w:w="1985" w:type="dxa"/>
            <w:shd w:val="clear" w:color="auto" w:fill="auto"/>
          </w:tcPr>
          <w:p>
            <w:pPr>
              <w:widowControl/>
              <w:spacing w:line="360" w:lineRule="auto"/>
              <w:jc w:val="center"/>
              <w:rPr>
                <w:rFonts w:asciiTheme="minorEastAsia" w:hAnsiTheme="minorEastAsia"/>
                <w:caps/>
                <w:sz w:val="24"/>
                <w:szCs w:val="24"/>
              </w:rPr>
            </w:pPr>
            <w:r>
              <w:rPr>
                <w:rFonts w:hint="eastAsia" w:asciiTheme="minorEastAsia" w:hAnsiTheme="minorEastAsia"/>
                <w:sz w:val="24"/>
                <w:szCs w:val="24"/>
              </w:rPr>
              <w:t>等第制成绩</w:t>
            </w:r>
          </w:p>
        </w:tc>
        <w:tc>
          <w:tcPr>
            <w:tcW w:w="2126" w:type="dxa"/>
            <w:shd w:val="clear" w:color="auto" w:fill="auto"/>
          </w:tcPr>
          <w:p>
            <w:pPr>
              <w:widowControl/>
              <w:spacing w:line="360" w:lineRule="auto"/>
              <w:jc w:val="center"/>
              <w:rPr>
                <w:rFonts w:asciiTheme="minorEastAsia" w:hAnsiTheme="minorEastAsia"/>
                <w:caps/>
                <w:sz w:val="24"/>
                <w:szCs w:val="24"/>
              </w:rPr>
            </w:pPr>
            <w:r>
              <w:rPr>
                <w:rFonts w:hint="eastAsia" w:asciiTheme="minorEastAsia" w:hAnsiTheme="minorEastAsia"/>
                <w:sz w:val="24"/>
                <w:szCs w:val="24"/>
              </w:rPr>
              <w:t>五级制成绩</w:t>
            </w:r>
          </w:p>
        </w:tc>
        <w:tc>
          <w:tcPr>
            <w:tcW w:w="2126" w:type="dxa"/>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绩点值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2376" w:type="dxa"/>
            <w:tcBorders>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96≤成绩≤100</w:t>
            </w:r>
          </w:p>
        </w:tc>
        <w:tc>
          <w:tcPr>
            <w:tcW w:w="1985" w:type="dxa"/>
            <w:tcBorders>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A+</w:t>
            </w:r>
          </w:p>
        </w:tc>
        <w:tc>
          <w:tcPr>
            <w:tcW w:w="2126" w:type="dxa"/>
            <w:vMerge w:val="restart"/>
            <w:shd w:val="clear" w:color="auto" w:fill="auto"/>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优 (4.00)</w:t>
            </w:r>
          </w:p>
        </w:tc>
        <w:tc>
          <w:tcPr>
            <w:tcW w:w="2126" w:type="dxa"/>
            <w:vMerge w:val="restart"/>
            <w:shd w:val="clear" w:color="auto" w:fill="auto"/>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5" w:hRule="atLeast"/>
          <w:jc w:val="center"/>
        </w:trPr>
        <w:tc>
          <w:tcPr>
            <w:tcW w:w="2376" w:type="dxa"/>
            <w:tcBorders>
              <w:top w:val="single" w:color="auto" w:sz="4" w:space="0"/>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93≤成绩&lt;96</w:t>
            </w:r>
          </w:p>
        </w:tc>
        <w:tc>
          <w:tcPr>
            <w:tcW w:w="1985" w:type="dxa"/>
            <w:tcBorders>
              <w:top w:val="single" w:color="auto" w:sz="4" w:space="0"/>
              <w:bottom w:val="single" w:color="auto" w:sz="4" w:space="0"/>
            </w:tcBorders>
            <w:shd w:val="clear" w:color="auto" w:fill="auto"/>
          </w:tcPr>
          <w:p>
            <w:pPr>
              <w:spacing w:line="360" w:lineRule="auto"/>
              <w:ind w:firstLine="559" w:firstLineChars="233"/>
              <w:rPr>
                <w:rFonts w:asciiTheme="minorEastAsia" w:hAnsiTheme="minorEastAsia"/>
                <w:sz w:val="24"/>
                <w:szCs w:val="24"/>
              </w:rPr>
            </w:pPr>
            <w:r>
              <w:rPr>
                <w:rFonts w:hint="eastAsia" w:asciiTheme="minorEastAsia" w:hAnsiTheme="minorEastAsia"/>
                <w:sz w:val="24"/>
                <w:szCs w:val="24"/>
              </w:rPr>
              <w:t>A</w:t>
            </w:r>
          </w:p>
        </w:tc>
        <w:tc>
          <w:tcPr>
            <w:tcW w:w="2126" w:type="dxa"/>
            <w:vMerge w:val="continue"/>
            <w:shd w:val="clear" w:color="auto" w:fill="auto"/>
            <w:vAlign w:val="center"/>
          </w:tcPr>
          <w:p>
            <w:pPr>
              <w:widowControl/>
              <w:spacing w:line="360" w:lineRule="auto"/>
              <w:jc w:val="center"/>
              <w:rPr>
                <w:rFonts w:asciiTheme="minorEastAsia" w:hAnsiTheme="minorEastAsia"/>
                <w:sz w:val="24"/>
                <w:szCs w:val="24"/>
              </w:rPr>
            </w:pPr>
          </w:p>
        </w:tc>
        <w:tc>
          <w:tcPr>
            <w:tcW w:w="2126" w:type="dxa"/>
            <w:vMerge w:val="continue"/>
            <w:shd w:val="clear" w:color="auto" w:fill="auto"/>
          </w:tcPr>
          <w:p>
            <w:pPr>
              <w:widowControl/>
              <w:spacing w:line="360" w:lineRule="auto"/>
              <w:jc w:val="center"/>
              <w:rPr>
                <w:rFonts w:asciiTheme="minorEastAsia" w:hAnsiTheme="minorEastAsia"/>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2376" w:type="dxa"/>
            <w:tcBorders>
              <w:top w:val="single" w:color="auto" w:sz="4" w:space="0"/>
              <w:bottom w:val="single" w:color="auto" w:sz="12"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90≤成绩&lt;93</w:t>
            </w:r>
          </w:p>
        </w:tc>
        <w:tc>
          <w:tcPr>
            <w:tcW w:w="1985" w:type="dxa"/>
            <w:tcBorders>
              <w:top w:val="single" w:color="auto" w:sz="4" w:space="0"/>
              <w:bottom w:val="single" w:color="auto" w:sz="12"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A-</w:t>
            </w:r>
          </w:p>
        </w:tc>
        <w:tc>
          <w:tcPr>
            <w:tcW w:w="2126" w:type="dxa"/>
            <w:vMerge w:val="continue"/>
            <w:tcBorders>
              <w:bottom w:val="single" w:color="auto" w:sz="12" w:space="0"/>
            </w:tcBorders>
            <w:shd w:val="clear" w:color="auto" w:fill="auto"/>
            <w:vAlign w:val="center"/>
          </w:tcPr>
          <w:p>
            <w:pPr>
              <w:widowControl/>
              <w:spacing w:line="360" w:lineRule="auto"/>
              <w:jc w:val="center"/>
              <w:rPr>
                <w:rFonts w:asciiTheme="minorEastAsia" w:hAnsiTheme="minorEastAsia"/>
                <w:sz w:val="24"/>
                <w:szCs w:val="24"/>
              </w:rPr>
            </w:pPr>
          </w:p>
        </w:tc>
        <w:tc>
          <w:tcPr>
            <w:tcW w:w="2126" w:type="dxa"/>
            <w:vMerge w:val="continue"/>
            <w:tcBorders>
              <w:bottom w:val="single" w:color="auto" w:sz="12" w:space="0"/>
            </w:tcBorders>
            <w:shd w:val="clear" w:color="auto" w:fill="auto"/>
          </w:tcPr>
          <w:p>
            <w:pPr>
              <w:widowControl/>
              <w:spacing w:line="360" w:lineRule="auto"/>
              <w:jc w:val="center"/>
              <w:rPr>
                <w:rFonts w:asciiTheme="minorEastAsia" w:hAnsiTheme="minorEastAsia"/>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2376" w:type="dxa"/>
            <w:tcBorders>
              <w:top w:val="single" w:color="auto" w:sz="12" w:space="0"/>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87≤成绩&lt;90</w:t>
            </w:r>
          </w:p>
        </w:tc>
        <w:tc>
          <w:tcPr>
            <w:tcW w:w="1985" w:type="dxa"/>
            <w:tcBorders>
              <w:top w:val="single" w:color="auto" w:sz="12" w:space="0"/>
              <w:bottom w:val="single" w:color="auto" w:sz="4" w:space="0"/>
            </w:tcBorders>
            <w:shd w:val="clear" w:color="auto" w:fill="auto"/>
          </w:tcPr>
          <w:p>
            <w:pPr>
              <w:spacing w:line="360" w:lineRule="auto"/>
              <w:ind w:left="559" w:hanging="559" w:hangingChars="233"/>
              <w:jc w:val="center"/>
              <w:rPr>
                <w:rFonts w:asciiTheme="minorEastAsia" w:hAnsiTheme="minorEastAsia"/>
                <w:sz w:val="24"/>
                <w:szCs w:val="24"/>
              </w:rPr>
            </w:pPr>
            <w:r>
              <w:rPr>
                <w:rFonts w:hint="eastAsia" w:asciiTheme="minorEastAsia" w:hAnsiTheme="minorEastAsia"/>
                <w:sz w:val="24"/>
                <w:szCs w:val="24"/>
              </w:rPr>
              <w:t>B+</w:t>
            </w:r>
          </w:p>
        </w:tc>
        <w:tc>
          <w:tcPr>
            <w:tcW w:w="2126" w:type="dxa"/>
            <w:vMerge w:val="restart"/>
            <w:tcBorders>
              <w:top w:val="single" w:color="auto" w:sz="12" w:space="0"/>
            </w:tcBorders>
            <w:shd w:val="clear" w:color="auto" w:fill="auto"/>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良(3.33)</w:t>
            </w:r>
          </w:p>
        </w:tc>
        <w:tc>
          <w:tcPr>
            <w:tcW w:w="2126" w:type="dxa"/>
            <w:tcBorders>
              <w:top w:val="single" w:color="auto" w:sz="12" w:space="0"/>
            </w:tcBorders>
            <w:shd w:val="clear" w:color="auto" w:fill="auto"/>
            <w:vAlign w:val="center"/>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3.67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jc w:val="center"/>
        </w:trPr>
        <w:tc>
          <w:tcPr>
            <w:tcW w:w="2376" w:type="dxa"/>
            <w:tcBorders>
              <w:top w:val="single" w:color="auto" w:sz="4" w:space="0"/>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84≤成绩&lt;87</w:t>
            </w:r>
          </w:p>
        </w:tc>
        <w:tc>
          <w:tcPr>
            <w:tcW w:w="1985" w:type="dxa"/>
            <w:tcBorders>
              <w:top w:val="single" w:color="auto" w:sz="4" w:space="0"/>
              <w:bottom w:val="single" w:color="auto" w:sz="4" w:space="0"/>
            </w:tcBorders>
            <w:shd w:val="clear" w:color="auto" w:fill="auto"/>
          </w:tcPr>
          <w:p>
            <w:pPr>
              <w:spacing w:line="360" w:lineRule="auto"/>
              <w:ind w:firstLine="559" w:firstLineChars="233"/>
              <w:rPr>
                <w:rFonts w:asciiTheme="minorEastAsia" w:hAnsiTheme="minorEastAsia"/>
                <w:sz w:val="24"/>
                <w:szCs w:val="24"/>
              </w:rPr>
            </w:pPr>
            <w:r>
              <w:rPr>
                <w:rFonts w:hint="eastAsia" w:asciiTheme="minorEastAsia" w:hAnsiTheme="minorEastAsia"/>
                <w:sz w:val="24"/>
                <w:szCs w:val="24"/>
              </w:rPr>
              <w:t>B</w:t>
            </w:r>
          </w:p>
        </w:tc>
        <w:tc>
          <w:tcPr>
            <w:tcW w:w="2126" w:type="dxa"/>
            <w:vMerge w:val="continue"/>
            <w:shd w:val="clear" w:color="auto" w:fill="auto"/>
            <w:vAlign w:val="center"/>
          </w:tcPr>
          <w:p>
            <w:pPr>
              <w:widowControl/>
              <w:spacing w:line="360" w:lineRule="auto"/>
              <w:jc w:val="center"/>
              <w:rPr>
                <w:rFonts w:asciiTheme="minorEastAsia" w:hAnsiTheme="minorEastAsia"/>
                <w:sz w:val="24"/>
                <w:szCs w:val="24"/>
              </w:rPr>
            </w:pPr>
          </w:p>
        </w:tc>
        <w:tc>
          <w:tcPr>
            <w:tcW w:w="2126" w:type="dxa"/>
            <w:shd w:val="clear" w:color="auto" w:fill="auto"/>
            <w:vAlign w:val="center"/>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3.33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5" w:hRule="atLeast"/>
          <w:jc w:val="center"/>
        </w:trPr>
        <w:tc>
          <w:tcPr>
            <w:tcW w:w="2376" w:type="dxa"/>
            <w:tcBorders>
              <w:top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81≤成绩&lt;84</w:t>
            </w:r>
          </w:p>
        </w:tc>
        <w:tc>
          <w:tcPr>
            <w:tcW w:w="1985" w:type="dxa"/>
            <w:tcBorders>
              <w:top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B-</w:t>
            </w:r>
          </w:p>
        </w:tc>
        <w:tc>
          <w:tcPr>
            <w:tcW w:w="2126" w:type="dxa"/>
            <w:vMerge w:val="continue"/>
            <w:shd w:val="clear" w:color="auto" w:fill="auto"/>
            <w:vAlign w:val="center"/>
          </w:tcPr>
          <w:p>
            <w:pPr>
              <w:widowControl/>
              <w:spacing w:line="360" w:lineRule="auto"/>
              <w:jc w:val="center"/>
              <w:rPr>
                <w:rFonts w:asciiTheme="minorEastAsia" w:hAnsiTheme="minorEastAsia"/>
                <w:sz w:val="24"/>
                <w:szCs w:val="24"/>
              </w:rPr>
            </w:pPr>
          </w:p>
        </w:tc>
        <w:tc>
          <w:tcPr>
            <w:tcW w:w="2126" w:type="dxa"/>
            <w:shd w:val="clear" w:color="auto" w:fill="auto"/>
            <w:vAlign w:val="center"/>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3.00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2376" w:type="dxa"/>
            <w:tcBorders>
              <w:bottom w:val="single" w:color="auto" w:sz="12"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78≤成绩&lt;81</w:t>
            </w:r>
          </w:p>
        </w:tc>
        <w:tc>
          <w:tcPr>
            <w:tcW w:w="1985" w:type="dxa"/>
            <w:tcBorders>
              <w:bottom w:val="single" w:color="auto" w:sz="12"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C+</w:t>
            </w:r>
          </w:p>
        </w:tc>
        <w:tc>
          <w:tcPr>
            <w:tcW w:w="2126" w:type="dxa"/>
            <w:vMerge w:val="continue"/>
            <w:tcBorders>
              <w:bottom w:val="single" w:color="auto" w:sz="12" w:space="0"/>
            </w:tcBorders>
            <w:shd w:val="clear" w:color="auto" w:fill="auto"/>
            <w:vAlign w:val="center"/>
          </w:tcPr>
          <w:p>
            <w:pPr>
              <w:widowControl/>
              <w:spacing w:line="360" w:lineRule="auto"/>
              <w:jc w:val="center"/>
              <w:rPr>
                <w:rFonts w:asciiTheme="minorEastAsia" w:hAnsiTheme="minorEastAsia"/>
                <w:sz w:val="24"/>
                <w:szCs w:val="24"/>
              </w:rPr>
            </w:pPr>
          </w:p>
        </w:tc>
        <w:tc>
          <w:tcPr>
            <w:tcW w:w="2126" w:type="dxa"/>
            <w:tcBorders>
              <w:bottom w:val="single" w:color="auto" w:sz="12" w:space="0"/>
            </w:tcBorders>
            <w:shd w:val="clear" w:color="auto" w:fill="auto"/>
            <w:vAlign w:val="center"/>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2.67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2376" w:type="dxa"/>
            <w:tcBorders>
              <w:top w:val="single" w:color="auto" w:sz="12" w:space="0"/>
              <w:bottom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75≤成绩&lt;78</w:t>
            </w:r>
          </w:p>
        </w:tc>
        <w:tc>
          <w:tcPr>
            <w:tcW w:w="1985" w:type="dxa"/>
            <w:tcBorders>
              <w:top w:val="single" w:color="auto" w:sz="12" w:space="0"/>
              <w:bottom w:val="single" w:color="auto" w:sz="4" w:space="0"/>
            </w:tcBorders>
            <w:shd w:val="clear" w:color="auto" w:fill="auto"/>
          </w:tcPr>
          <w:p>
            <w:pPr>
              <w:spacing w:line="360" w:lineRule="auto"/>
              <w:ind w:firstLine="559" w:firstLineChars="233"/>
              <w:rPr>
                <w:rFonts w:asciiTheme="minorEastAsia" w:hAnsiTheme="minorEastAsia"/>
                <w:sz w:val="24"/>
                <w:szCs w:val="24"/>
              </w:rPr>
            </w:pPr>
            <w:r>
              <w:rPr>
                <w:rFonts w:hint="eastAsia" w:asciiTheme="minorEastAsia" w:hAnsiTheme="minorEastAsia"/>
                <w:sz w:val="24"/>
                <w:szCs w:val="24"/>
              </w:rPr>
              <w:t>C</w:t>
            </w:r>
          </w:p>
        </w:tc>
        <w:tc>
          <w:tcPr>
            <w:tcW w:w="2126" w:type="dxa"/>
            <w:vMerge w:val="restart"/>
            <w:tcBorders>
              <w:top w:val="single" w:color="auto" w:sz="12" w:space="0"/>
            </w:tcBorders>
            <w:shd w:val="clear" w:color="auto" w:fill="auto"/>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中(2.00)</w:t>
            </w:r>
          </w:p>
        </w:tc>
        <w:tc>
          <w:tcPr>
            <w:tcW w:w="2126" w:type="dxa"/>
            <w:tcBorders>
              <w:top w:val="single" w:color="auto" w:sz="12" w:space="0"/>
            </w:tcBorders>
            <w:shd w:val="clear" w:color="auto" w:fill="auto"/>
            <w:vAlign w:val="center"/>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2.33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2376" w:type="dxa"/>
            <w:tcBorders>
              <w:top w:val="single" w:color="auto" w:sz="4" w:space="0"/>
            </w:tcBorders>
            <w:shd w:val="clear" w:color="auto" w:fill="auto"/>
          </w:tcPr>
          <w:p>
            <w:pPr>
              <w:spacing w:line="360" w:lineRule="auto"/>
              <w:jc w:val="center"/>
              <w:rPr>
                <w:rFonts w:asciiTheme="minorEastAsia" w:hAnsiTheme="minorEastAsia"/>
                <w:sz w:val="24"/>
                <w:szCs w:val="24"/>
              </w:rPr>
            </w:pPr>
            <w:r>
              <w:rPr>
                <w:rFonts w:hint="eastAsia" w:asciiTheme="minorEastAsia" w:hAnsiTheme="minorEastAsia"/>
                <w:sz w:val="24"/>
                <w:szCs w:val="24"/>
              </w:rPr>
              <w:t>72≤成绩&lt;75</w:t>
            </w:r>
          </w:p>
        </w:tc>
        <w:tc>
          <w:tcPr>
            <w:tcW w:w="1985" w:type="dxa"/>
            <w:tcBorders>
              <w:top w:val="single" w:color="auto" w:sz="4" w:space="0"/>
            </w:tcBorders>
            <w:shd w:val="clear" w:color="auto" w:fill="auto"/>
          </w:tcPr>
          <w:p>
            <w:pPr>
              <w:spacing w:line="360" w:lineRule="auto"/>
              <w:ind w:left="489" w:leftChars="233" w:firstLine="2"/>
              <w:rPr>
                <w:rFonts w:asciiTheme="minorEastAsia" w:hAnsiTheme="minorEastAsia"/>
                <w:sz w:val="24"/>
                <w:szCs w:val="24"/>
              </w:rPr>
            </w:pPr>
            <w:r>
              <w:rPr>
                <w:rFonts w:hint="eastAsia" w:asciiTheme="minorEastAsia" w:hAnsiTheme="minorEastAsia"/>
                <w:sz w:val="24"/>
                <w:szCs w:val="24"/>
              </w:rPr>
              <w:t>C-</w:t>
            </w:r>
          </w:p>
        </w:tc>
        <w:tc>
          <w:tcPr>
            <w:tcW w:w="2126" w:type="dxa"/>
            <w:vMerge w:val="continue"/>
            <w:shd w:val="clear" w:color="auto" w:fill="auto"/>
          </w:tcPr>
          <w:p>
            <w:pPr>
              <w:widowControl/>
              <w:spacing w:line="360" w:lineRule="auto"/>
              <w:jc w:val="center"/>
              <w:rPr>
                <w:rFonts w:asciiTheme="minorEastAsia" w:hAnsiTheme="minorEastAsia"/>
                <w:sz w:val="24"/>
                <w:szCs w:val="24"/>
              </w:rPr>
            </w:pPr>
          </w:p>
        </w:tc>
        <w:tc>
          <w:tcPr>
            <w:tcW w:w="2126" w:type="dxa"/>
            <w:shd w:val="clear" w:color="auto" w:fill="auto"/>
          </w:tcPr>
          <w:p>
            <w:pPr>
              <w:spacing w:line="360" w:lineRule="auto"/>
              <w:ind w:firstLine="402"/>
              <w:jc w:val="center"/>
              <w:rPr>
                <w:rFonts w:asciiTheme="minorEastAsia" w:hAnsiTheme="minorEastAsia"/>
                <w:sz w:val="24"/>
                <w:szCs w:val="24"/>
              </w:rPr>
            </w:pPr>
            <w:r>
              <w:rPr>
                <w:rFonts w:hint="eastAsia" w:asciiTheme="minorEastAsia" w:hAnsiTheme="minorEastAsia"/>
                <w:sz w:val="24"/>
                <w:szCs w:val="24"/>
              </w:rPr>
              <w:t>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69≤成绩&lt;72</w:t>
            </w:r>
          </w:p>
        </w:tc>
        <w:tc>
          <w:tcPr>
            <w:tcW w:w="1985" w:type="dxa"/>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D</w:t>
            </w:r>
          </w:p>
        </w:tc>
        <w:tc>
          <w:tcPr>
            <w:tcW w:w="2126" w:type="dxa"/>
            <w:vMerge w:val="continue"/>
            <w:shd w:val="clear" w:color="auto" w:fill="auto"/>
          </w:tcPr>
          <w:p>
            <w:pPr>
              <w:widowControl/>
              <w:spacing w:line="360" w:lineRule="auto"/>
              <w:jc w:val="center"/>
              <w:rPr>
                <w:rFonts w:asciiTheme="minorEastAsia" w:hAnsiTheme="minorEastAsia"/>
                <w:sz w:val="24"/>
                <w:szCs w:val="24"/>
              </w:rPr>
            </w:pPr>
          </w:p>
        </w:tc>
        <w:tc>
          <w:tcPr>
            <w:tcW w:w="2126" w:type="dxa"/>
            <w:shd w:val="clear" w:color="auto" w:fill="auto"/>
          </w:tcPr>
          <w:p>
            <w:pPr>
              <w:widowControl/>
              <w:spacing w:line="360" w:lineRule="auto"/>
              <w:ind w:firstLine="402"/>
              <w:jc w:val="center"/>
              <w:rPr>
                <w:rFonts w:asciiTheme="minorEastAsia" w:hAnsiTheme="minorEastAsia"/>
                <w:sz w:val="24"/>
                <w:szCs w:val="24"/>
              </w:rPr>
            </w:pPr>
            <w:r>
              <w:rPr>
                <w:rFonts w:hint="eastAsia" w:asciiTheme="minorEastAsia" w:hAnsiTheme="minorEastAsia"/>
                <w:sz w:val="24"/>
                <w:szCs w:val="24"/>
              </w:rPr>
              <w:t>1.67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66≤成绩&lt;69</w:t>
            </w:r>
          </w:p>
        </w:tc>
        <w:tc>
          <w:tcPr>
            <w:tcW w:w="1985" w:type="dxa"/>
            <w:vMerge w:val="continue"/>
            <w:shd w:val="clear" w:color="auto" w:fill="auto"/>
          </w:tcPr>
          <w:p>
            <w:pPr>
              <w:spacing w:line="360" w:lineRule="auto"/>
              <w:ind w:firstLine="402"/>
              <w:jc w:val="center"/>
              <w:rPr>
                <w:rFonts w:asciiTheme="minorEastAsia" w:hAnsiTheme="minorEastAsia"/>
                <w:sz w:val="24"/>
                <w:szCs w:val="24"/>
              </w:rPr>
            </w:pPr>
          </w:p>
        </w:tc>
        <w:tc>
          <w:tcPr>
            <w:tcW w:w="2126" w:type="dxa"/>
            <w:vMerge w:val="continue"/>
            <w:shd w:val="clear" w:color="auto" w:fill="auto"/>
          </w:tcPr>
          <w:p>
            <w:pPr>
              <w:widowControl/>
              <w:spacing w:line="360" w:lineRule="auto"/>
              <w:jc w:val="center"/>
              <w:rPr>
                <w:rFonts w:asciiTheme="minorEastAsia" w:hAnsiTheme="minorEastAsia"/>
                <w:sz w:val="24"/>
                <w:szCs w:val="24"/>
              </w:rPr>
            </w:pPr>
          </w:p>
        </w:tc>
        <w:tc>
          <w:tcPr>
            <w:tcW w:w="2126" w:type="dxa"/>
            <w:shd w:val="clear" w:color="auto" w:fill="auto"/>
          </w:tcPr>
          <w:p>
            <w:pPr>
              <w:widowControl/>
              <w:spacing w:line="360" w:lineRule="auto"/>
              <w:ind w:firstLine="402"/>
              <w:jc w:val="center"/>
              <w:rPr>
                <w:rFonts w:asciiTheme="minorEastAsia" w:hAnsiTheme="minorEastAsia"/>
                <w:sz w:val="24"/>
                <w:szCs w:val="24"/>
              </w:rPr>
            </w:pPr>
            <w:r>
              <w:rPr>
                <w:rFonts w:hint="eastAsia" w:asciiTheme="minorEastAsia" w:hAnsiTheme="minorEastAsia"/>
                <w:sz w:val="24"/>
                <w:szCs w:val="24"/>
              </w:rPr>
              <w:t>1.33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63≤成绩&lt;66</w:t>
            </w:r>
          </w:p>
        </w:tc>
        <w:tc>
          <w:tcPr>
            <w:tcW w:w="1985" w:type="dxa"/>
            <w:vMerge w:val="continue"/>
            <w:shd w:val="clear" w:color="auto" w:fill="auto"/>
          </w:tcPr>
          <w:p>
            <w:pPr>
              <w:spacing w:line="360" w:lineRule="auto"/>
              <w:ind w:firstLine="402"/>
              <w:jc w:val="center"/>
              <w:rPr>
                <w:rFonts w:asciiTheme="minorEastAsia" w:hAnsiTheme="minorEastAsia"/>
                <w:sz w:val="24"/>
                <w:szCs w:val="24"/>
              </w:rPr>
            </w:pPr>
          </w:p>
        </w:tc>
        <w:tc>
          <w:tcPr>
            <w:tcW w:w="2126" w:type="dxa"/>
            <w:vMerge w:val="continue"/>
            <w:shd w:val="clear" w:color="auto" w:fill="auto"/>
          </w:tcPr>
          <w:p>
            <w:pPr>
              <w:widowControl/>
              <w:spacing w:line="360" w:lineRule="auto"/>
              <w:jc w:val="center"/>
              <w:rPr>
                <w:rFonts w:asciiTheme="minorEastAsia" w:hAnsiTheme="minorEastAsia"/>
                <w:sz w:val="24"/>
                <w:szCs w:val="24"/>
              </w:rPr>
            </w:pPr>
          </w:p>
        </w:tc>
        <w:tc>
          <w:tcPr>
            <w:tcW w:w="2126" w:type="dxa"/>
            <w:shd w:val="clear" w:color="auto" w:fill="auto"/>
          </w:tcPr>
          <w:p>
            <w:pPr>
              <w:widowControl/>
              <w:spacing w:line="360" w:lineRule="auto"/>
              <w:ind w:firstLine="402"/>
              <w:jc w:val="center"/>
              <w:rPr>
                <w:rFonts w:asciiTheme="minorEastAsia" w:hAnsiTheme="minorEastAsia"/>
                <w:sz w:val="24"/>
                <w:szCs w:val="24"/>
              </w:rPr>
            </w:pPr>
            <w:r>
              <w:rPr>
                <w:rFonts w:hint="eastAsia" w:asciiTheme="minorEastAsia" w:hAnsiTheme="minorEastAsia"/>
                <w:sz w:val="24"/>
                <w:szCs w:val="24"/>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tcBorders>
              <w:bottom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60≤成绩&lt;63</w:t>
            </w:r>
          </w:p>
        </w:tc>
        <w:tc>
          <w:tcPr>
            <w:tcW w:w="1985" w:type="dxa"/>
            <w:vMerge w:val="continue"/>
            <w:tcBorders>
              <w:bottom w:val="single" w:color="auto" w:sz="12" w:space="0"/>
            </w:tcBorders>
            <w:shd w:val="clear" w:color="auto" w:fill="auto"/>
          </w:tcPr>
          <w:p>
            <w:pPr>
              <w:widowControl/>
              <w:spacing w:line="360" w:lineRule="auto"/>
              <w:ind w:firstLine="402"/>
              <w:jc w:val="center"/>
              <w:rPr>
                <w:rFonts w:asciiTheme="minorEastAsia" w:hAnsiTheme="minorEastAsia"/>
                <w:sz w:val="24"/>
                <w:szCs w:val="24"/>
              </w:rPr>
            </w:pPr>
          </w:p>
        </w:tc>
        <w:tc>
          <w:tcPr>
            <w:tcW w:w="2126" w:type="dxa"/>
            <w:tcBorders>
              <w:bottom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及格(0.67)</w:t>
            </w:r>
          </w:p>
        </w:tc>
        <w:tc>
          <w:tcPr>
            <w:tcW w:w="2126" w:type="dxa"/>
            <w:tcBorders>
              <w:bottom w:val="single" w:color="auto" w:sz="12" w:space="0"/>
            </w:tcBorders>
            <w:shd w:val="clear" w:color="auto" w:fill="auto"/>
          </w:tcPr>
          <w:p>
            <w:pPr>
              <w:widowControl/>
              <w:spacing w:line="360" w:lineRule="auto"/>
              <w:ind w:firstLine="402"/>
              <w:jc w:val="center"/>
              <w:rPr>
                <w:rFonts w:asciiTheme="minorEastAsia" w:hAnsiTheme="minorEastAsia"/>
                <w:sz w:val="24"/>
                <w:szCs w:val="24"/>
              </w:rPr>
            </w:pPr>
            <w:r>
              <w:rPr>
                <w:rFonts w:hint="eastAsia" w:asciiTheme="minorEastAsia" w:hAnsiTheme="minorEastAsia"/>
                <w:sz w:val="24"/>
                <w:szCs w:val="24"/>
              </w:rPr>
              <w:t>0.67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tcBorders>
              <w:top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成绩&lt;60</w:t>
            </w:r>
          </w:p>
        </w:tc>
        <w:tc>
          <w:tcPr>
            <w:tcW w:w="1985" w:type="dxa"/>
            <w:tcBorders>
              <w:top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F</w:t>
            </w:r>
          </w:p>
        </w:tc>
        <w:tc>
          <w:tcPr>
            <w:tcW w:w="2126" w:type="dxa"/>
            <w:tcBorders>
              <w:top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不及格（0.00）</w:t>
            </w:r>
          </w:p>
        </w:tc>
        <w:tc>
          <w:tcPr>
            <w:tcW w:w="2126" w:type="dxa"/>
            <w:tcBorders>
              <w:top w:val="single" w:color="auto" w:sz="12" w:space="0"/>
            </w:tcBorders>
            <w:shd w:val="clear" w:color="auto" w:fill="auto"/>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 xml:space="preserve">   0.00</w:t>
            </w:r>
          </w:p>
        </w:tc>
      </w:tr>
    </w:tbl>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（二）课程学分绩点：将某门课程的成绩按上表规定转换为绩点，再将绩点乘以学分数，即得出该门课程的学分绩点。即：课程学分绩点=课程学分数×该课程绩点数。</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（三）平均学分绩点：学生在修读期间所取得的学分绩点之和除以同期修读的学分数之和为平均学分绩点。即：平均学分绩点=各门课程学分绩点之和÷各门课程学分数之和。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第二十二条 任课教师在课程考核结束后应及时将学生成绩上网登记，二级学院教学科研工作办公室应按照规定的时间将成绩归档和上交。</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第五章  转专业与转学</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第二十三条学生一般应当在被录取的专业完成学业。学生申请转专业，按《内江师范学院学生转专业管理办法》的相关规定执行。</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二十四条学生一般应当在本校完成学业。因患病或者有特殊困难、特别需要，无法继续在本校学习或者不适应本校学习要求的，可以申请转学。学生申请转学，按《内江师范学院学生转学管理办法》的相关规定执行。</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第六章  休学、复学与保留学籍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第二十五条 学生可以分阶段完成学业。在学校规定的学习年限内，学生有下列情况之一者应予休学：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（一）因病经医院诊断，须停课治疗、休养时间累计达一学期的6周以上者。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 在一学期内请假时间累计达到6周及以上者。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（三）因其它特殊原因，本人申请或学校认为必须休学者。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第二十六条 休学学生应当办理休学手续离校，学校保留其学籍。学生休学以一年为期，学期结束前开始休学者，该学期按休学计算。按学籍管理规定达到退学条件的，不能办理休学。休学后复学的学生未修满一学期又休学应视为连续休学。办理休学手续后，休学期未满即返校者，不予注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第二十七条  专科学生休学不得超过1年、本科学生累计不得超过2年。学生休学期间的有关问题，按照下列规定办理：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（一）休学学生不享受在校学习学生待遇。</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（二）因病休学的学生，应回家休养，往返路费自理。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（三）休学期间的行为及产生的后果由学生自行负责。</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（四）休学期间的医疗费用，按照医疗保险的有关规定办理。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第二十八条 学校对休学创业学生实行灵活的学习制度，允许学生休学创业，休学创业时间累计不超过三年。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第二十九条 参加学校组织的出国（境）留学（交流）且项目时间六个月及以上的学生，应办理保留学籍手续。</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第三十条 在校大学生应征入伍，参加中国人民解放军（含中国人民武装警察部队），学校保留其学籍至退役后两年。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第三十一条 学生保留学籍期间，不享受在校生待遇。保留学籍学生与其实际所在的部队、学校等组织建立管理关系。</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第三十二条 学生复学按下列规定办理：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学生休学、保留学籍期满，应当于开学前一周向学校提出复学申请，填写《内江师范学院复学申请书》，经二级学院签署意见，报教务处同意，学校批准，方可复学。因病休学的学生申请复学时，还须提供由医院出具的已恢复健康的证明。</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（二）休学、保留学籍期间，如有违反国家法律法规且情节严重者，按有关规定取消学籍。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第三十三条 学生申请复学时，若原专业已调整、合并或中断招生，可转入其他相近专业学习。</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第七章  学业警示和退学</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第三十四条 学业警示</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（一）每学年第一学期取得的课程学分数未达到应修课程学分总数的二分之一者，应给予留降级警示。</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（二）学生有下列情况之一者，应给予重修警示：</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1.补考（含重修补考）不及格者。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2.某门课程无故旷课达到四分之一学时者。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（三）学生有下列情况之一者，应给予退学警示：</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1.每学期旷课累计41—50学时者。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2.超过学校规定期限10天未注册而又无正当事由者。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（四）学生有下列情况者，应给予结业警示：</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本科生在第七学期末（专科生在第五学期末），已完成课程修读但未取得学分累计达到10学分以上者。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第三十五条 退学</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（一）学生因本人原因申请退学的，应当由二级学院签署意见后报教务处审核，经分管校长审定后办理相关手续。</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（二）学生有下列情形之一者，予以退学处理：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1.注册学生一学期取得学分低于6学分者（新生第一学期除外）。</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2.在学校规定的学习年限内未完成学业者。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3.休学、保留学籍期满，两周内不办理复学手续或经复查不符合复学条件者。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4.根据学校指定医院诊断，患有疾病或者意外伤残不能继续在校学习者。</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5.未经批准连续两周未参加学校规定的教学活动者。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6.超过学校规定期限未注册而又未履行暂缓注册手续者。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7.一学期旷课累计旷课51学时及以上者。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第三十六条 退学学生的善后处理，按下列规定办理：</w:t>
      </w:r>
    </w:p>
    <w:p>
      <w:pPr>
        <w:pStyle w:val="19"/>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（一）对退学的学生，由学校出具退学处理决定书送达学生本人。学生拒绝签收的，以留置方式送达；已离校的，以邮寄方式送达；难于联系的，以学校网站公告方式送达。</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（二）对退学处理无异议的学生，应在5个工作日内办理退学手续离校。</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（三）对退学处理有异议的学生，可在收到退学处理决定书之日起10日内，向学校学生申诉处理委员会提出书面申诉，具体按照《内江师范学院学生申诉处理办法（修订）》（内师院发〔2017〕91号）执行。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（四）对学满一年且成绩及格的退学学生，按照其实际完成的学业年限发给肄业证书。对因其它情况退学学生,学校出具写实性学习证明。</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（五）退学的学生，不得申请恢复学籍。</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第八章  考勤</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第三十七条 出勤的检查与处理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学生上课、实习、劳动、军训、政治学习等均应实行考勤。学生应按时参加专业培养方案规定的统一安排。因故不能参加者，须事先办理请假手续。凡未请假或请假超期者，一律以旷课处理。实习、劳动、军训、毕业论文（设计）等一天按4学时计算，上课旷课按实际授课的学时数计算。</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（二）对旷课的学生，应根据旷课时数及情节，给予批评教育直至纪律处分。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考勤由班长或学习委员负责，每周向二级学院教学科研工作办公室报告，由二级学院每周公布一次；公共课、选修课的考勤由教师指定一名课代表负责，每周向任课教师报告。班长或课代表应如实报告学生出勤情况。</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第三十八条 请假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学生请假，须事先填写请假申请，经班主任或辅导员签署意见，按下列方式签字审批：请假在3天以内，由班主任处签字审批；3天以上7天以内由二级学院总支书记、分管教学院长审批；7天以上15天以内报学生处、教务处审批；15天以上由分管学生工作的校领导、分管教学工作的校领导审批。手续完成后原件存二级学院。因病请假须有医院证明。</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（二）请假期满需续假者，应于请假期满前另持有关证明材料申请办理续假手续，经获准后方为有效。否则，按旷课论处。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（三）完成请假手续后，学生应将请假申请单交班主任。学生请假期满，应及时在班主任处销假。</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（四）学生请假离校期间，如发生安全等涉及学生管理方面的问题，由学生工作部（处）牵头负责处理。</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第九章  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第三十九条 对有违反法律、法规和《高等学校学生管理规定》以及学生规定行为的学生，学校给予批评教育或纪律处分。纪律处分的种类有以下五种：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（一）警告；</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（二）严重警告；</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（三）记过；</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（四）留校察看；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（五）开除学籍。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第四十条 对旷课的学生，根据每学期旷课累计时数及情节，给予批评教育，直至纪律处分：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（一）旷课10-20学时者，给予警告处分。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（二）旷课21-30学时者，给予严重警告处分。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（三）旷课31-40学时者，给予记过处分。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（四）旷课41-50学时者，给予留校察看处分。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第四十一条 对违反考试纪律的考生，取消考试资格，令其退出考场，该课程成绩记为无效，并根据情节轻重，参照</w:t>
      </w:r>
      <w:r>
        <w:rPr>
          <w:rFonts w:asciiTheme="minorEastAsia" w:hAnsiTheme="minorEastAsia" w:eastAsiaTheme="minorEastAsia"/>
          <w:sz w:val="24"/>
          <w:szCs w:val="24"/>
        </w:rPr>
        <w:t>《内江师范学院学生考试违规处理办法(修订)》给予</w:t>
      </w:r>
      <w:r>
        <w:rPr>
          <w:rFonts w:hint="eastAsia" w:asciiTheme="minorEastAsia" w:hAnsiTheme="minorEastAsia" w:eastAsiaTheme="minorEastAsia"/>
          <w:sz w:val="24"/>
          <w:szCs w:val="24"/>
        </w:rPr>
        <w:t>警告直至开除学籍的纪律处分。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第四十二条 学生在完成毕业论文（设计）时，剽窃、抄袭他人研究成果，违背《中华人民共和国知识产权法》，成绩记“0”分，并依据《学位论文作假行为处理办法》给予处理。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第四十三条 对违纪违法学生，既要热情帮助，又要严格要求。处理时应当做到程序正当、证据充足、依据明确、定性准确、处分恰当，处理结论要同本人见面，允许本人申诉和保留不同意见。对本人的申诉，按照《内江师范学院学生申诉处理办法(修订)》执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第四十四条 对学生的鉴定、奖励、处分材料均归入本人档案。</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第十章  升级、跳级、留级和降级</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第四十五条 升级。学生按选课制编班，按学分制教学计划修读课程。学生修完专业教学计划规定的本学年应修课程，学年结束时，经考核成绩合格，且所获课程学分数不少于36个学分，准予编入高一个年级（升级）学习。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第四十六条 跳级。学业成绩特别优秀的学生，学年结束时，在修完专业教学计划规定的本学年应修课程并取得相应学分的同时，又以良好的成绩修满了高一年级课程学分数的三分之二及以上者，经本人申请，二级学院同意，教务处批准，准予编入高两个年级（跳级）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第四十七条 留级。学生一学年取得学分的总数未达到应修学分百分之五十者，应编入下一年级（留级）学习。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编入下一年级学习的学生（留级学生）应参加下一年级的各项活动，按培养方案要求参加下一年级的学习，重修未获得学分的课程，重修课程全部合格并获得相应学分者，可以与该年级学生同步升级。编入下一年级学习的学生经过努力，选修原年级主要课程并取得规定学分数的三分之二及以上者，允许再编入原年级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第四十八条 降级。编入下一年级学习的学生，学年结束时，重修课程仍未合格者，则应编入再下一年级（降级）学习。降级学习的学生应参加编入年级的各项活动，按培养方案要求参加编入年级的学习。降级学生经过努力，选修上一个年级主要课程并取得规定学分数的三分之二及以上者，允许编入上一个年级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第四十九条 在新学年完成补考工作后，各二级学院教学科研工作办公室应对各年级、各专业学生上一学年课程考核成绩进行全面清理，对达到升、跳、留、降级规定的学生作出升、跳、留、降级处理；毕业班学生完成第八学期考核工作后，各二级学院教学科研工作办公室应对各专业毕业年级学生本学年课程考核成绩进行全面清理，对应留、降级的学生作出留、降级处理。</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第十一章  毕业与结业、肄业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第五十条 学生在学校规定学习年限内，修完专业培养方案规定内容且成绩合格，达到毕业要求，准予毕业，由学校发给毕业证书。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第五十一条 学生在规定的学习年限内，修完专业培养方案规定内容，虽未达到毕业要求但符合下列条件之一的，由学校发给结业证书并按下列办法处理：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（一）本、专科学生在规定学制的学习年限内未取得的学分总数在培养方案规定总学分数的1/10以内（含1/10）者，作结业处理，发给结业证书。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根据教育部《国家学生体质健康标准（2014年修订）》（教体艺〔2014〕5号)文件精神，学生毕业时，体质健康测试成绩达不到50分者，按结业处理（因病或残疾学生，凭医院证明向学校提出申请并经审核通过后可准予毕业），发给结业证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结业生离校两个月后至规定的最长学习年限内，由本人提出申请，经所在学院同意，教务处核实，学校批准，可重修不合格课程；达到毕业要求者可颁发毕业证书，毕业时间按发证日期填写。超过最长学习年限仍未达到毕业要求者，作永久结业处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第五十二条 对在本专科学制内不能结业的学生应在学校规定的最长学习年限内自主重修学习或留（降）级跟班学习。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第五十三条 对完成本专业学业的同时，辅修其他专业并达到该专业辅修要求的学生，由学校发给该专业辅修证书。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第五十四条 学校严格按照招生时确定的办学类型和学习形式，以及学生招生录取时填报的个人信息，填写、颁发学历证书、学位证书及其他学业证书。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学生在校期间变更姓名、出生日期等证书需填写的个人信息的，应当有合理、充分的理由，并提供有法定效力的相应证明文件。</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五条对违反国家招生规定取得入学资格或者学籍的，学校取消其学籍，不发给学历证书、学位证书；已发的学历证书、学位证书，学校依法予以追回并报教育行政部门撤销。对以作弊、剽窃、抄袭等学术不端行为或者其他不正当手段获得学历证书、学位证书的，学校应当依法予以撤销。被撤销的学历证书、学位证书已注册的，学校依法予以注销并报教育行政部门宣布无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第五十六条 毕业、结业、肄业证书和学位证书遗失或者损坏的，不能补发。经本人申请，学校核实后出具相应的毕业、结业、肄业证明书；毕业、结业、肄业证明书与原证书具有同等效力。</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第十二章  学士学位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第五十七条 符合以下授位条件者，可授予学士学位：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 在学校规定年限内，修完本专业培养方案规定的学分，达到毕业要求的本科毕业生，成绩优良。</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（二）拥护中国共产党的领导，拥护社会主义制度，热爱祖国，愿意为社会主义建设服务，为人民服务。遵纪守法，品行端正。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（三）较好地掌握本门学科的基础理论、专业知识和基本技能。初步具有从事教学工作、科学研究工作或担任专门技术工作的能力。</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第五十八条 有下列情况之一者，不得授予学士学位：</w:t>
      </w:r>
    </w:p>
    <w:p>
      <w:pPr>
        <w:adjustRightInd w:val="0"/>
        <w:snapToGrid w:val="0"/>
        <w:spacing w:line="360" w:lineRule="auto"/>
        <w:ind w:firstLine="480" w:firstLineChars="200"/>
        <w:rPr>
          <w:rFonts w:asciiTheme="minorEastAsia" w:hAnsiTheme="minorEastAsia"/>
          <w:sz w:val="24"/>
          <w:szCs w:val="24"/>
        </w:rPr>
      </w:pPr>
      <w:bookmarkStart w:id="25" w:name="OLE_LINK5"/>
      <w:bookmarkStart w:id="26" w:name="OLE_LINK6"/>
      <w:r>
        <w:rPr>
          <w:rFonts w:hint="eastAsia" w:asciiTheme="minorEastAsia" w:hAnsiTheme="minorEastAsia"/>
          <w:sz w:val="24"/>
          <w:szCs w:val="24"/>
        </w:rPr>
        <w:t>（一） 在校学习期间，所修课程平均学分绩点低于2.00者。</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（二）课程重修学分累计超过该专业毕业要求最低学分的10%者。</w:t>
      </w:r>
    </w:p>
    <w:bookmarkEnd w:id="25"/>
    <w:bookmarkEnd w:id="26"/>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（三）其他不符合授予学士学位条件者。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第五十九条学士学位授予的具体工作详见《内江师范学院学士学位授予工作实施细则》。</w:t>
      </w:r>
    </w:p>
    <w:p>
      <w:pPr>
        <w:pStyle w:val="19"/>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第十三章  附则</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第六十条 本管理规定自2017年9月1日起开始执行，原《内江师范学院学生学籍实施细则》（内师院发〔2014〕88号）同时废止。现有的教学管理文件与本管理规定不相符的，以本管理规定为准。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第六十一条</w:t>
      </w:r>
      <w:bookmarkStart w:id="27" w:name="OLE_LINK3"/>
      <w:bookmarkStart w:id="28" w:name="OLE_LINK4"/>
      <w:r>
        <w:rPr>
          <w:rFonts w:hint="eastAsia" w:asciiTheme="minorEastAsia" w:hAnsiTheme="minorEastAsia" w:eastAsiaTheme="minorEastAsia"/>
          <w:sz w:val="24"/>
          <w:szCs w:val="24"/>
        </w:rPr>
        <w:t xml:space="preserve"> 本管理规定适用于我校接受普通高等学历教育的全日制本、专科学生。</w:t>
      </w:r>
    </w:p>
    <w:bookmarkEnd w:id="27"/>
    <w:bookmarkEnd w:id="28"/>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第六十二条 本管理规定由教务处负责解释。</w:t>
      </w:r>
    </w:p>
    <w:p>
      <w:pPr>
        <w:spacing w:line="360" w:lineRule="auto"/>
        <w:ind w:left="3574" w:right="838" w:rightChars="399" w:hanging="3573" w:hangingChars="1489"/>
        <w:jc w:val="righ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2017年9月1日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bCs/>
          <w:w w:val="90"/>
          <w:sz w:val="32"/>
          <w:szCs w:val="32"/>
        </w:rPr>
      </w:pPr>
      <w:r>
        <w:rPr>
          <w:rFonts w:hint="eastAsia" w:asciiTheme="majorEastAsia" w:hAnsiTheme="majorEastAsia" w:eastAsiaTheme="majorEastAsia"/>
          <w:b/>
          <w:bCs/>
          <w:w w:val="90"/>
          <w:sz w:val="32"/>
          <w:szCs w:val="32"/>
        </w:rPr>
        <w:t>内江师范学院学士学位授予工作实施细则(修订)</w:t>
      </w:r>
    </w:p>
    <w:p>
      <w:pPr>
        <w:widowControl/>
        <w:spacing w:line="560" w:lineRule="exact"/>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内师院发〔</w:t>
      </w:r>
      <w:r>
        <w:rPr>
          <w:rFonts w:cs="宋体" w:asciiTheme="majorEastAsia" w:hAnsiTheme="majorEastAsia" w:eastAsiaTheme="majorEastAsia"/>
          <w:b/>
          <w:kern w:val="0"/>
          <w:sz w:val="28"/>
          <w:szCs w:val="28"/>
        </w:rPr>
        <w:t>2017〕132号</w:t>
      </w:r>
    </w:p>
    <w:p>
      <w:pPr>
        <w:widowControl/>
        <w:spacing w:line="560" w:lineRule="exact"/>
        <w:jc w:val="center"/>
        <w:rPr>
          <w:rFonts w:cs="宋体" w:asciiTheme="majorEastAsia" w:hAnsiTheme="majorEastAsia" w:eastAsiaTheme="majorEastAsia"/>
          <w:b/>
          <w:kern w:val="0"/>
          <w:sz w:val="28"/>
          <w:szCs w:val="28"/>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根据《中华人民共和国学位条例》、《中华人民共和国学位条例暂行实施办法》和省学位委员会《关于加强我省普通高校学士学位授予工作的意见》，结合我校实际情况，特修订学士学位授予工作实施细则。</w:t>
      </w:r>
    </w:p>
    <w:p>
      <w:pPr>
        <w:adjustRightInd w:val="0"/>
        <w:snapToGrid w:val="0"/>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一、学位评定委员会的构成与职责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 校学位评定委员会由十七至二十五人组成，任期二至三年，设主席一人，副主席二人，秘书长一人，委员若干人。委员会成员在具有副教授以上职称的教师中遴选，并报四川省人民政府学位委员会批准。学位评定委员会办公室设在教务处。</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经校学位评定委员会批准，二级学院设学位评定分委员会，由二级学院院长和高级职称教师等五至七人组成，任期二至三年。分委员会主席由校学位评定委员会委员担任。</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 校学位评定委员会的职责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制定学士学位授予工作细则。</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对新增学士学位授予专业进行初审工作。</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审批二级学院学位评定委员会。</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批准学士学位获得者名单。</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作出撤销违反规定而授予学士学位的决定。</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研究和处理学士学位授予过程中有争议的问题和其他事项。</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 二级学院学位评定委员会的职责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组织本学院学士学位的初审，向校学位评定委员会汇报初评情况并申报本学院授予学士学位的学生名单。</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研究和处理本学院学士学位授予过程中的争议问题和其他事项。</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协助校学位评定委员会做好学位授予的其他工作。</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 学位评定委员会办公室的职责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经校学位评定委员会批准，布置当年学士学位授予工作。</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会同有关部门对各二级学院申报授予学士学位的学生进行资格审查。</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按规定时间和要求，将学校学士学位授予情况报省人民政府学位委员会备案。</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处理有关学士学位的日常工作。</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二、学士学位授予条件</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 在学校规定年限内，修完本专业培养方案规定的学分，达到毕业要求的本科毕业生，成绩优良。</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拥护中国共产党的领导，拥护社会主义制度，热爱祖国，愿意为社会主义建设服务，为人民服务。遵纪守法，品行端正。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 较好地掌握本门学科的基础理论、专业知识和基本技能。初步具有从事教学工作、科学研究工作或担任专门技术工作的能力。</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三、有下列情况之一者，不得授予学士学位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 在校学习期间，所修课程平均学分绩点低于2.00者。</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课程重修学分累计超过该专业毕业要求最低学分的10%者。</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(三) 其他不符合授予学士学位条件者。</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四、有下列情况者，经申请审核后可授予学士学位</w:t>
      </w:r>
    </w:p>
    <w:p>
      <w:pPr>
        <w:tabs>
          <w:tab w:val="left" w:pos="1287"/>
          <w:tab w:val="left" w:pos="1620"/>
        </w:tabs>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 平均学分绩点未达到要求而未获学士学位者，毕业后至规定的最长学习年限内，回校重修</w:t>
      </w:r>
      <w:r>
        <w:rPr>
          <w:rFonts w:hint="eastAsia" w:asciiTheme="minorEastAsia" w:hAnsiTheme="minorEastAsia"/>
          <w:sz w:val="24"/>
          <w:szCs w:val="24"/>
        </w:rPr>
        <w:t>（课程重修学分累计未超过该专业毕业要求最低学分的10%），</w:t>
      </w:r>
      <w:r>
        <w:rPr>
          <w:rFonts w:hint="eastAsia" w:asciiTheme="minorEastAsia" w:hAnsiTheme="minorEastAsia"/>
          <w:color w:val="000000"/>
          <w:sz w:val="24"/>
          <w:szCs w:val="24"/>
        </w:rPr>
        <w:t>达到授予学位条件者，可向学校申请学位资格。</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结业生结业后至</w:t>
      </w:r>
      <w:r>
        <w:rPr>
          <w:rFonts w:hint="eastAsia" w:asciiTheme="minorEastAsia" w:hAnsiTheme="minorEastAsia"/>
          <w:color w:val="000000"/>
          <w:sz w:val="24"/>
          <w:szCs w:val="24"/>
        </w:rPr>
        <w:t>规定的最长学习年限内，</w:t>
      </w:r>
      <w:r>
        <w:rPr>
          <w:rFonts w:hint="eastAsia" w:asciiTheme="minorEastAsia" w:hAnsiTheme="minorEastAsia"/>
          <w:sz w:val="24"/>
          <w:szCs w:val="24"/>
        </w:rPr>
        <w:t>回校重修（课程重修学分累计未超过该专业毕业要求最低学分的10%），成绩合格且达到学士学位授予条件者。</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其它情况的学位授予申请，由校学位评定委员会讨论决定。</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五、学士学位授予程序</w:t>
      </w:r>
    </w:p>
    <w:p>
      <w:pPr>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 拟申请学士学位的毕业生须在毕业考试后向所在二级学院（部）提出书面申请，并填写《内江师范学院学士学位申请表》（附件一）。</w:t>
      </w:r>
    </w:p>
    <w:p>
      <w:pPr>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sz w:val="24"/>
          <w:szCs w:val="24"/>
        </w:rPr>
        <w:t>(二) 各二级学院学位评定分委员会根据学士学位授予条件，对申请学士学位的毕业生的政治思想表现、历年考试成绩和毕业鉴定等有关材料逐项进行初审。</w:t>
      </w:r>
      <w:r>
        <w:rPr>
          <w:rFonts w:hint="eastAsia" w:asciiTheme="minorEastAsia" w:hAnsiTheme="minorEastAsia"/>
          <w:kern w:val="0"/>
          <w:sz w:val="24"/>
          <w:szCs w:val="24"/>
        </w:rPr>
        <w:t>在规定期限内，将《内江师范学院学士学位申请表》、拟授予学士学位的学生名单（附件二）、不能授予学士学位的学生名单（附件三）上报校学位评定委员会。</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 学位评定委员会办公室会同教务处、学生处对各二级学院学位委员会提出的名单进行复核，提交校学位评定委员会审议。</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 校学位评定委员会全体会议对各二级学院提出并经学位办审核的名单进行全面讨论和审议，并就是否授予学士学位做出决议，确定授予学士学位的学生名单。</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 对学士学位获得者，一般在学生毕业离校前夕，颁发学士学位证书。</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 在授</w:t>
      </w:r>
      <w:r>
        <w:rPr>
          <w:rFonts w:hint="eastAsia" w:cs="宋体" w:asciiTheme="minorEastAsia" w:hAnsiTheme="minorEastAsia"/>
          <w:kern w:val="0"/>
          <w:sz w:val="24"/>
          <w:szCs w:val="24"/>
        </w:rPr>
        <w:t>予学位工作中，各职能部门要坚持标准、严格要求、公正合理、保证质量。如有营私舞弊 、弄虚作假的，一经查出应严肃处理，并撤销所授予学士学位。</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六、附则</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 本细则适用于我校接受普通高等学历教育的全日制本科生，自2018届本科毕业生开始实施。</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学位授予中未尽事宜由校学位评定委员会另行讨论确定。</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 本细则由校学位评定委员会办公室负责解释。</w:t>
      </w:r>
    </w:p>
    <w:p>
      <w:pPr>
        <w:adjustRightInd w:val="0"/>
        <w:snapToGrid w:val="0"/>
        <w:spacing w:line="360" w:lineRule="auto"/>
        <w:ind w:firstLine="480" w:firstLineChars="200"/>
        <w:rPr>
          <w:rFonts w:asciiTheme="minorEastAsia" w:hAnsiTheme="minorEastAsia"/>
          <w:sz w:val="24"/>
          <w:szCs w:val="24"/>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kern w:val="0"/>
          <w:sz w:val="24"/>
          <w:szCs w:val="24"/>
        </w:rPr>
        <w:t>附件：</w:t>
      </w:r>
      <w:r>
        <w:rPr>
          <w:rFonts w:hint="eastAsia" w:asciiTheme="minorEastAsia" w:hAnsiTheme="minorEastAsia"/>
          <w:sz w:val="24"/>
          <w:szCs w:val="24"/>
        </w:rPr>
        <w:t>1. 《内江师范学院学士学位申请表》</w:t>
      </w:r>
    </w:p>
    <w:p>
      <w:pPr>
        <w:adjustRightInd w:val="0"/>
        <w:snapToGrid w:val="0"/>
        <w:spacing w:line="360" w:lineRule="auto"/>
        <w:ind w:firstLine="1200" w:firstLineChars="500"/>
        <w:rPr>
          <w:rFonts w:asciiTheme="minorEastAsia" w:hAnsiTheme="minorEastAsia"/>
          <w:sz w:val="24"/>
          <w:szCs w:val="24"/>
        </w:rPr>
      </w:pPr>
      <w:r>
        <w:rPr>
          <w:rFonts w:hint="eastAsia" w:asciiTheme="minorEastAsia" w:hAnsiTheme="minorEastAsia"/>
          <w:sz w:val="24"/>
          <w:szCs w:val="24"/>
        </w:rPr>
        <w:t>2. 《内江师范学院</w:t>
      </w:r>
      <w:r>
        <w:rPr>
          <w:rFonts w:hint="eastAsia" w:asciiTheme="minorEastAsia" w:hAnsiTheme="minorEastAsia"/>
          <w:sz w:val="24"/>
          <w:szCs w:val="24"/>
          <w:u w:val="single"/>
        </w:rPr>
        <w:t xml:space="preserve">     </w:t>
      </w:r>
      <w:r>
        <w:rPr>
          <w:rFonts w:hint="eastAsia" w:asciiTheme="minorEastAsia" w:hAnsiTheme="minorEastAsia"/>
          <w:sz w:val="24"/>
          <w:szCs w:val="24"/>
        </w:rPr>
        <w:t>届普通本科毕业生申请授予</w:t>
      </w:r>
    </w:p>
    <w:p>
      <w:pPr>
        <w:adjustRightInd w:val="0"/>
        <w:snapToGrid w:val="0"/>
        <w:spacing w:line="360" w:lineRule="auto"/>
        <w:ind w:firstLine="1552" w:firstLineChars="647"/>
        <w:rPr>
          <w:rFonts w:asciiTheme="minorEastAsia" w:hAnsiTheme="minorEastAsia"/>
          <w:sz w:val="24"/>
          <w:szCs w:val="24"/>
        </w:rPr>
      </w:pPr>
      <w:r>
        <w:rPr>
          <w:rFonts w:hint="eastAsia" w:asciiTheme="minorEastAsia" w:hAnsiTheme="minorEastAsia"/>
          <w:sz w:val="24"/>
          <w:szCs w:val="24"/>
        </w:rPr>
        <w:t>学士学位汇总表》</w:t>
      </w:r>
    </w:p>
    <w:p>
      <w:pPr>
        <w:adjustRightInd w:val="0"/>
        <w:snapToGrid w:val="0"/>
        <w:spacing w:line="360" w:lineRule="auto"/>
        <w:ind w:firstLine="1200" w:firstLineChars="500"/>
        <w:rPr>
          <w:rFonts w:asciiTheme="minorEastAsia" w:hAnsiTheme="minorEastAsia"/>
          <w:sz w:val="24"/>
          <w:szCs w:val="24"/>
        </w:rPr>
      </w:pPr>
      <w:r>
        <w:rPr>
          <w:rFonts w:hint="eastAsia" w:asciiTheme="minorEastAsia" w:hAnsiTheme="minorEastAsia"/>
          <w:sz w:val="24"/>
          <w:szCs w:val="24"/>
        </w:rPr>
        <w:t>3. 《内江师范学院</w:t>
      </w:r>
      <w:r>
        <w:rPr>
          <w:rFonts w:hint="eastAsia" w:asciiTheme="minorEastAsia" w:hAnsiTheme="minorEastAsia"/>
          <w:sz w:val="24"/>
          <w:szCs w:val="24"/>
          <w:u w:val="single"/>
        </w:rPr>
        <w:t xml:space="preserve">     </w:t>
      </w:r>
      <w:r>
        <w:rPr>
          <w:rFonts w:hint="eastAsia" w:asciiTheme="minorEastAsia" w:hAnsiTheme="minorEastAsia"/>
          <w:sz w:val="24"/>
          <w:szCs w:val="24"/>
        </w:rPr>
        <w:t>届普通本科毕业生不符合学</w:t>
      </w:r>
    </w:p>
    <w:p>
      <w:pPr>
        <w:adjustRightInd w:val="0"/>
        <w:snapToGrid w:val="0"/>
        <w:spacing w:line="360" w:lineRule="auto"/>
        <w:ind w:firstLine="1552" w:firstLineChars="647"/>
        <w:rPr>
          <w:rFonts w:asciiTheme="minorEastAsia" w:hAnsiTheme="minorEastAsia"/>
          <w:sz w:val="24"/>
          <w:szCs w:val="24"/>
        </w:rPr>
      </w:pPr>
      <w:r>
        <w:rPr>
          <w:rFonts w:hint="eastAsia" w:asciiTheme="minorEastAsia" w:hAnsiTheme="minorEastAsia"/>
          <w:sz w:val="24"/>
          <w:szCs w:val="24"/>
        </w:rPr>
        <w:t>士学位授予条件汇总表》</w:t>
      </w:r>
    </w:p>
    <w:p>
      <w:pPr>
        <w:spacing w:line="360" w:lineRule="auto"/>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 xml:space="preserve">2017年11月13日  </w:t>
      </w: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黑体" w:eastAsia="黑体"/>
          <w:kern w:val="0"/>
          <w:sz w:val="32"/>
          <w:szCs w:val="32"/>
        </w:rPr>
      </w:pPr>
    </w:p>
    <w:p>
      <w:pPr>
        <w:spacing w:line="500" w:lineRule="exact"/>
        <w:rPr>
          <w:rFonts w:asciiTheme="minorEastAsia" w:hAnsiTheme="minorEastAsia"/>
          <w:b/>
          <w:kern w:val="0"/>
          <w:sz w:val="24"/>
          <w:szCs w:val="24"/>
        </w:rPr>
      </w:pPr>
      <w:r>
        <w:rPr>
          <w:rFonts w:hint="eastAsia" w:asciiTheme="minorEastAsia" w:hAnsiTheme="minorEastAsia"/>
          <w:b/>
          <w:kern w:val="0"/>
          <w:sz w:val="24"/>
          <w:szCs w:val="24"/>
        </w:rPr>
        <w:t xml:space="preserve">附件1           </w:t>
      </w:r>
    </w:p>
    <w:p>
      <w:pPr>
        <w:spacing w:line="500" w:lineRule="exact"/>
        <w:jc w:val="center"/>
        <w:rPr>
          <w:rFonts w:asciiTheme="minorEastAsia" w:hAnsiTheme="minorEastAsia"/>
          <w:b/>
          <w:kern w:val="0"/>
          <w:sz w:val="32"/>
          <w:szCs w:val="32"/>
        </w:rPr>
      </w:pPr>
      <w:r>
        <w:rPr>
          <w:rFonts w:hint="eastAsia" w:asciiTheme="minorEastAsia" w:hAnsiTheme="minorEastAsia"/>
          <w:b/>
          <w:kern w:val="0"/>
          <w:sz w:val="32"/>
          <w:szCs w:val="32"/>
        </w:rPr>
        <w:t>内江师范学院学士学位申请表</w:t>
      </w:r>
    </w:p>
    <w:p>
      <w:pPr>
        <w:spacing w:line="500" w:lineRule="exact"/>
        <w:rPr>
          <w:rFonts w:asciiTheme="minorEastAsia" w:hAnsiTheme="minorEastAsia"/>
          <w:kern w:val="0"/>
          <w:szCs w:val="21"/>
        </w:rPr>
      </w:pPr>
      <w:r>
        <w:rPr>
          <w:rFonts w:hint="eastAsia" w:asciiTheme="minorEastAsia" w:hAnsiTheme="minorEastAsia"/>
          <w:kern w:val="0"/>
          <w:sz w:val="28"/>
          <w:szCs w:val="26"/>
        </w:rPr>
        <w:t xml:space="preserve">                           </w:t>
      </w:r>
      <w:r>
        <w:rPr>
          <w:rFonts w:hint="eastAsia" w:asciiTheme="minorEastAsia" w:hAnsiTheme="minorEastAsia"/>
          <w:kern w:val="0"/>
          <w:szCs w:val="21"/>
        </w:rPr>
        <w:t xml:space="preserve">         填表日期            </w:t>
      </w:r>
      <w:r>
        <w:rPr>
          <w:rFonts w:asciiTheme="minorEastAsia" w:hAnsiTheme="minorEastAsia"/>
          <w:kern w:val="0"/>
          <w:szCs w:val="21"/>
        </w:rPr>
        <w:t xml:space="preserve">    </w:t>
      </w:r>
      <w:r>
        <w:rPr>
          <w:rFonts w:hint="eastAsia" w:asciiTheme="minorEastAsia" w:hAnsiTheme="minorEastAsia"/>
          <w:kern w:val="0"/>
          <w:szCs w:val="21"/>
        </w:rPr>
        <w:t>年    月    日</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95"/>
        <w:gridCol w:w="894"/>
        <w:gridCol w:w="851"/>
        <w:gridCol w:w="1183"/>
        <w:gridCol w:w="1377"/>
        <w:gridCol w:w="27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188" w:type="dxa"/>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2889" w:type="dxa"/>
            <w:gridSpan w:val="3"/>
            <w:vAlign w:val="center"/>
          </w:tcPr>
          <w:p>
            <w:pPr>
              <w:jc w:val="center"/>
              <w:rPr>
                <w:rFonts w:asciiTheme="minorEastAsia" w:hAnsiTheme="minorEastAsia"/>
                <w:sz w:val="24"/>
                <w:szCs w:val="24"/>
              </w:rPr>
            </w:pPr>
          </w:p>
        </w:tc>
        <w:tc>
          <w:tcPr>
            <w:tcW w:w="851" w:type="dxa"/>
            <w:vAlign w:val="center"/>
          </w:tcPr>
          <w:p>
            <w:pPr>
              <w:jc w:val="center"/>
              <w:rPr>
                <w:rFonts w:asciiTheme="minorEastAsia" w:hAnsiTheme="minorEastAsia"/>
                <w:sz w:val="24"/>
                <w:szCs w:val="24"/>
              </w:rPr>
            </w:pPr>
            <w:r>
              <w:rPr>
                <w:rFonts w:hint="eastAsia" w:asciiTheme="minorEastAsia" w:hAnsiTheme="minorEastAsia"/>
                <w:sz w:val="24"/>
                <w:szCs w:val="24"/>
              </w:rPr>
              <w:t>身份证号</w:t>
            </w:r>
          </w:p>
        </w:tc>
        <w:tc>
          <w:tcPr>
            <w:tcW w:w="2560" w:type="dxa"/>
            <w:gridSpan w:val="2"/>
            <w:vAlign w:val="center"/>
          </w:tcPr>
          <w:p>
            <w:pPr>
              <w:jc w:val="center"/>
              <w:rPr>
                <w:rFonts w:asciiTheme="minorEastAsia" w:hAnsiTheme="minorEastAsia"/>
                <w:sz w:val="24"/>
                <w:szCs w:val="24"/>
              </w:rPr>
            </w:pPr>
          </w:p>
        </w:tc>
        <w:tc>
          <w:tcPr>
            <w:tcW w:w="1620" w:type="dxa"/>
            <w:gridSpan w:val="2"/>
            <w:vMerge w:val="restart"/>
            <w:vAlign w:val="center"/>
          </w:tcPr>
          <w:p>
            <w:pPr>
              <w:jc w:val="center"/>
              <w:rPr>
                <w:rFonts w:asciiTheme="minorEastAsia" w:hAnsiTheme="minorEastAsia"/>
                <w:sz w:val="24"/>
                <w:szCs w:val="24"/>
              </w:rPr>
            </w:pPr>
            <w:r>
              <w:rPr>
                <w:rFonts w:hint="eastAsia" w:asciiTheme="minorEastAsia" w:hAnsiTheme="minorEastAsia"/>
                <w:sz w:val="24"/>
                <w:szCs w:val="24"/>
              </w:rPr>
              <w:t>照</w:t>
            </w: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188"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2889" w:type="dxa"/>
            <w:gridSpan w:val="3"/>
            <w:vAlign w:val="center"/>
          </w:tcPr>
          <w:p>
            <w:pPr>
              <w:jc w:val="center"/>
              <w:rPr>
                <w:rFonts w:asciiTheme="minorEastAsia" w:hAnsiTheme="minorEastAsia"/>
                <w:sz w:val="24"/>
                <w:szCs w:val="24"/>
              </w:rPr>
            </w:pPr>
          </w:p>
        </w:tc>
        <w:tc>
          <w:tcPr>
            <w:tcW w:w="851" w:type="dxa"/>
            <w:vAlign w:val="center"/>
          </w:tcPr>
          <w:p>
            <w:pPr>
              <w:jc w:val="center"/>
              <w:rPr>
                <w:rFonts w:asciiTheme="minorEastAsia" w:hAnsiTheme="minorEastAsia"/>
                <w:sz w:val="24"/>
                <w:szCs w:val="24"/>
              </w:rPr>
            </w:pPr>
            <w:r>
              <w:rPr>
                <w:rFonts w:hint="eastAsia" w:asciiTheme="minorEastAsia" w:hAnsiTheme="minorEastAsia"/>
                <w:sz w:val="24"/>
                <w:szCs w:val="24"/>
              </w:rPr>
              <w:t>专    业</w:t>
            </w:r>
          </w:p>
        </w:tc>
        <w:tc>
          <w:tcPr>
            <w:tcW w:w="2560" w:type="dxa"/>
            <w:gridSpan w:val="2"/>
            <w:vAlign w:val="center"/>
          </w:tcPr>
          <w:p>
            <w:pPr>
              <w:jc w:val="center"/>
              <w:rPr>
                <w:rFonts w:asciiTheme="minorEastAsia" w:hAnsiTheme="minorEastAsia"/>
                <w:sz w:val="24"/>
                <w:szCs w:val="24"/>
              </w:rPr>
            </w:pPr>
          </w:p>
        </w:tc>
        <w:tc>
          <w:tcPr>
            <w:tcW w:w="1620" w:type="dxa"/>
            <w:gridSpan w:val="2"/>
            <w:vMerge w:val="continue"/>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188" w:type="dxa"/>
            <w:vAlign w:val="center"/>
          </w:tcPr>
          <w:p>
            <w:pPr>
              <w:jc w:val="center"/>
              <w:rPr>
                <w:rFonts w:asciiTheme="minorEastAsia" w:hAnsiTheme="minorEastAsia"/>
                <w:sz w:val="24"/>
                <w:szCs w:val="24"/>
              </w:rPr>
            </w:pPr>
            <w:r>
              <w:rPr>
                <w:rFonts w:hint="eastAsia" w:asciiTheme="minorEastAsia" w:hAnsiTheme="minorEastAsia"/>
                <w:sz w:val="24"/>
                <w:szCs w:val="24"/>
              </w:rPr>
              <w:t>学    号</w:t>
            </w:r>
          </w:p>
        </w:tc>
        <w:tc>
          <w:tcPr>
            <w:tcW w:w="2889" w:type="dxa"/>
            <w:gridSpan w:val="3"/>
            <w:vAlign w:val="center"/>
          </w:tcPr>
          <w:p>
            <w:pPr>
              <w:jc w:val="center"/>
              <w:rPr>
                <w:rFonts w:asciiTheme="minorEastAsia" w:hAnsiTheme="minorEastAsia"/>
                <w:sz w:val="24"/>
                <w:szCs w:val="24"/>
              </w:rPr>
            </w:pPr>
          </w:p>
        </w:tc>
        <w:tc>
          <w:tcPr>
            <w:tcW w:w="851" w:type="dxa"/>
            <w:vAlign w:val="center"/>
          </w:tcPr>
          <w:p>
            <w:pPr>
              <w:jc w:val="center"/>
              <w:rPr>
                <w:rFonts w:asciiTheme="minorEastAsia" w:hAnsiTheme="minorEastAsia"/>
                <w:sz w:val="24"/>
                <w:szCs w:val="24"/>
              </w:rPr>
            </w:pPr>
            <w:r>
              <w:rPr>
                <w:rFonts w:hint="eastAsia" w:asciiTheme="minorEastAsia" w:hAnsiTheme="minorEastAsia"/>
                <w:sz w:val="24"/>
                <w:szCs w:val="24"/>
              </w:rPr>
              <w:t>申请学位</w:t>
            </w:r>
          </w:p>
        </w:tc>
        <w:tc>
          <w:tcPr>
            <w:tcW w:w="2560" w:type="dxa"/>
            <w:gridSpan w:val="2"/>
            <w:vAlign w:val="center"/>
          </w:tcPr>
          <w:p>
            <w:pPr>
              <w:jc w:val="center"/>
              <w:rPr>
                <w:rFonts w:asciiTheme="minorEastAsia" w:hAnsiTheme="minorEastAsia"/>
                <w:sz w:val="24"/>
                <w:szCs w:val="24"/>
              </w:rPr>
            </w:pPr>
          </w:p>
        </w:tc>
        <w:tc>
          <w:tcPr>
            <w:tcW w:w="1620" w:type="dxa"/>
            <w:gridSpan w:val="2"/>
            <w:vMerge w:val="continue"/>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88" w:type="dxa"/>
            <w:vAlign w:val="center"/>
          </w:tcPr>
          <w:p>
            <w:pPr>
              <w:jc w:val="center"/>
              <w:rPr>
                <w:rFonts w:asciiTheme="minorEastAsia" w:hAnsiTheme="minorEastAsia"/>
                <w:sz w:val="24"/>
                <w:szCs w:val="24"/>
              </w:rPr>
            </w:pPr>
            <w:r>
              <w:rPr>
                <w:rFonts w:hint="eastAsia" w:asciiTheme="minorEastAsia" w:hAnsiTheme="minorEastAsia"/>
                <w:sz w:val="24"/>
                <w:szCs w:val="24"/>
              </w:rPr>
              <w:t>学分绩点</w:t>
            </w:r>
          </w:p>
        </w:tc>
        <w:tc>
          <w:tcPr>
            <w:tcW w:w="900" w:type="dxa"/>
            <w:vAlign w:val="center"/>
          </w:tcPr>
          <w:p>
            <w:pPr>
              <w:jc w:val="center"/>
              <w:rPr>
                <w:rFonts w:asciiTheme="minorEastAsia" w:hAnsiTheme="minorEastAsia"/>
                <w:sz w:val="24"/>
                <w:szCs w:val="24"/>
              </w:rPr>
            </w:pPr>
          </w:p>
        </w:tc>
        <w:tc>
          <w:tcPr>
            <w:tcW w:w="1095" w:type="dxa"/>
            <w:vAlign w:val="center"/>
          </w:tcPr>
          <w:p>
            <w:pPr>
              <w:jc w:val="center"/>
              <w:rPr>
                <w:rFonts w:asciiTheme="minorEastAsia" w:hAnsiTheme="minorEastAsia"/>
                <w:sz w:val="24"/>
                <w:szCs w:val="24"/>
              </w:rPr>
            </w:pPr>
            <w:r>
              <w:rPr>
                <w:rFonts w:hint="eastAsia" w:asciiTheme="minorEastAsia" w:hAnsiTheme="minorEastAsia"/>
                <w:sz w:val="24"/>
                <w:szCs w:val="24"/>
              </w:rPr>
              <w:t>毕业要求最低学分</w:t>
            </w:r>
          </w:p>
        </w:tc>
        <w:tc>
          <w:tcPr>
            <w:tcW w:w="894" w:type="dxa"/>
            <w:vAlign w:val="center"/>
          </w:tcPr>
          <w:p>
            <w:pPr>
              <w:jc w:val="center"/>
              <w:rPr>
                <w:rFonts w:asciiTheme="minorEastAsia" w:hAnsiTheme="minorEastAsia"/>
                <w:sz w:val="24"/>
                <w:szCs w:val="24"/>
              </w:rPr>
            </w:pPr>
          </w:p>
        </w:tc>
        <w:tc>
          <w:tcPr>
            <w:tcW w:w="851" w:type="dxa"/>
            <w:vAlign w:val="center"/>
          </w:tcPr>
          <w:p>
            <w:pPr>
              <w:jc w:val="center"/>
              <w:rPr>
                <w:rFonts w:asciiTheme="minorEastAsia" w:hAnsiTheme="minorEastAsia"/>
                <w:sz w:val="24"/>
                <w:szCs w:val="24"/>
              </w:rPr>
            </w:pPr>
            <w:r>
              <w:rPr>
                <w:rFonts w:hint="eastAsia" w:asciiTheme="minorEastAsia" w:hAnsiTheme="minorEastAsia"/>
                <w:sz w:val="24"/>
                <w:szCs w:val="24"/>
              </w:rPr>
              <w:t>重修学分</w:t>
            </w:r>
          </w:p>
        </w:tc>
        <w:tc>
          <w:tcPr>
            <w:tcW w:w="1183" w:type="dxa"/>
            <w:vAlign w:val="center"/>
          </w:tcPr>
          <w:p>
            <w:pPr>
              <w:jc w:val="center"/>
              <w:rPr>
                <w:rFonts w:asciiTheme="minorEastAsia" w:hAnsiTheme="minorEastAsia"/>
                <w:sz w:val="24"/>
                <w:szCs w:val="24"/>
              </w:rPr>
            </w:pPr>
          </w:p>
        </w:tc>
        <w:tc>
          <w:tcPr>
            <w:tcW w:w="165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重修学分占毕业要求最低学分比例</w:t>
            </w:r>
          </w:p>
        </w:tc>
        <w:tc>
          <w:tcPr>
            <w:tcW w:w="1345"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0" w:hRule="atLeast"/>
        </w:trPr>
        <w:tc>
          <w:tcPr>
            <w:tcW w:w="1188" w:type="dxa"/>
            <w:tcBorders>
              <w:bottom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受 过</w:t>
            </w:r>
          </w:p>
          <w:p>
            <w:pPr>
              <w:jc w:val="center"/>
              <w:rPr>
                <w:rFonts w:asciiTheme="minorEastAsia" w:hAnsiTheme="minorEastAsia"/>
                <w:sz w:val="24"/>
                <w:szCs w:val="24"/>
              </w:rPr>
            </w:pPr>
            <w:r>
              <w:rPr>
                <w:rFonts w:hint="eastAsia" w:asciiTheme="minorEastAsia" w:hAnsiTheme="minorEastAsia"/>
                <w:sz w:val="24"/>
                <w:szCs w:val="24"/>
              </w:rPr>
              <w:t>何 种</w:t>
            </w:r>
          </w:p>
          <w:p>
            <w:pPr>
              <w:jc w:val="center"/>
              <w:rPr>
                <w:rFonts w:asciiTheme="minorEastAsia" w:hAnsiTheme="minorEastAsia"/>
                <w:sz w:val="24"/>
                <w:szCs w:val="24"/>
              </w:rPr>
            </w:pPr>
            <w:r>
              <w:rPr>
                <w:rFonts w:hint="eastAsia" w:asciiTheme="minorEastAsia" w:hAnsiTheme="minorEastAsia"/>
                <w:sz w:val="24"/>
                <w:szCs w:val="24"/>
              </w:rPr>
              <w:t>奖 励</w:t>
            </w:r>
          </w:p>
        </w:tc>
        <w:tc>
          <w:tcPr>
            <w:tcW w:w="7920" w:type="dxa"/>
            <w:gridSpan w:val="8"/>
            <w:tcBorders>
              <w:bottom w:val="single" w:color="auto" w:sz="4"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6" w:hRule="atLeast"/>
        </w:trPr>
        <w:tc>
          <w:tcPr>
            <w:tcW w:w="1188" w:type="dxa"/>
            <w:tcBorders>
              <w:bottom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受 过</w:t>
            </w:r>
          </w:p>
          <w:p>
            <w:pPr>
              <w:jc w:val="center"/>
              <w:rPr>
                <w:rFonts w:asciiTheme="minorEastAsia" w:hAnsiTheme="minorEastAsia"/>
                <w:sz w:val="24"/>
                <w:szCs w:val="24"/>
              </w:rPr>
            </w:pPr>
            <w:r>
              <w:rPr>
                <w:rFonts w:hint="eastAsia" w:asciiTheme="minorEastAsia" w:hAnsiTheme="minorEastAsia"/>
                <w:sz w:val="24"/>
                <w:szCs w:val="24"/>
              </w:rPr>
              <w:t>何 种</w:t>
            </w:r>
          </w:p>
          <w:p>
            <w:pPr>
              <w:jc w:val="center"/>
              <w:rPr>
                <w:rFonts w:asciiTheme="minorEastAsia" w:hAnsiTheme="minorEastAsia"/>
                <w:sz w:val="24"/>
                <w:szCs w:val="24"/>
              </w:rPr>
            </w:pPr>
            <w:r>
              <w:rPr>
                <w:rFonts w:hint="eastAsia" w:asciiTheme="minorEastAsia" w:hAnsiTheme="minorEastAsia"/>
                <w:sz w:val="24"/>
                <w:szCs w:val="24"/>
              </w:rPr>
              <w:t>处 分</w:t>
            </w:r>
          </w:p>
        </w:tc>
        <w:tc>
          <w:tcPr>
            <w:tcW w:w="7920" w:type="dxa"/>
            <w:gridSpan w:val="8"/>
            <w:tcBorders>
              <w:bottom w:val="single" w:color="auto" w:sz="4" w:space="0"/>
            </w:tcBorders>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2" w:hRule="atLeast"/>
        </w:trPr>
        <w:tc>
          <w:tcPr>
            <w:tcW w:w="1188" w:type="dxa"/>
            <w:tcBorders>
              <w:bottom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院学位评</w:t>
            </w: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定分委员</w:t>
            </w: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会 意 见</w:t>
            </w:r>
          </w:p>
        </w:tc>
        <w:tc>
          <w:tcPr>
            <w:tcW w:w="7920" w:type="dxa"/>
            <w:gridSpan w:val="8"/>
            <w:tcBorders>
              <w:bottom w:val="single" w:color="auto" w:sz="4" w:space="0"/>
            </w:tcBorders>
          </w:tcPr>
          <w:p>
            <w:pPr>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r>
              <w:rPr>
                <w:rFonts w:hint="eastAsia" w:asciiTheme="minorEastAsia" w:hAnsiTheme="minorEastAsia"/>
                <w:sz w:val="24"/>
                <w:szCs w:val="24"/>
              </w:rPr>
              <w:t>学位评定分委员会负责人签名                     学院公章</w:t>
            </w:r>
          </w:p>
          <w:p>
            <w:pPr>
              <w:rPr>
                <w:rFonts w:asciiTheme="minorEastAsia" w:hAnsiTheme="minorEastAsia"/>
                <w:sz w:val="24"/>
                <w:szCs w:val="24"/>
              </w:rPr>
            </w:pPr>
            <w:r>
              <w:rPr>
                <w:rFonts w:hint="eastAsia" w:asciiTheme="minorEastAsia" w:hAnsi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1" w:hRule="atLeast"/>
        </w:trPr>
        <w:tc>
          <w:tcPr>
            <w:tcW w:w="1188" w:type="dxa"/>
            <w:tcBorders>
              <w:bottom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校学位评</w:t>
            </w: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定委员会</w:t>
            </w: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意    见</w:t>
            </w:r>
          </w:p>
        </w:tc>
        <w:tc>
          <w:tcPr>
            <w:tcW w:w="7920" w:type="dxa"/>
            <w:gridSpan w:val="8"/>
            <w:tcBorders>
              <w:bottom w:val="single" w:color="auto" w:sz="4" w:space="0"/>
            </w:tcBorders>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ind w:firstLine="720" w:firstLineChars="300"/>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 xml:space="preserve">     学位评定委员会负责人签名                       学校公章</w:t>
            </w:r>
          </w:p>
          <w:p>
            <w:pPr>
              <w:rPr>
                <w:rFonts w:asciiTheme="minorEastAsia" w:hAnsiTheme="minorEastAsia"/>
                <w:sz w:val="24"/>
                <w:szCs w:val="24"/>
              </w:rPr>
            </w:pPr>
            <w:r>
              <w:rPr>
                <w:rFonts w:hint="eastAsia" w:asciiTheme="minorEastAsia" w:hAnsiTheme="minorEastAsia"/>
                <w:sz w:val="24"/>
                <w:szCs w:val="24"/>
              </w:rPr>
              <w:t xml:space="preserve">                                                年     月     日</w:t>
            </w:r>
          </w:p>
        </w:tc>
      </w:tr>
    </w:tbl>
    <w:p>
      <w:pPr>
        <w:spacing w:line="400" w:lineRule="exact"/>
        <w:rPr>
          <w:rFonts w:ascii="黑体" w:eastAsia="黑体"/>
          <w:kern w:val="0"/>
          <w:sz w:val="28"/>
          <w:szCs w:val="26"/>
        </w:rPr>
      </w:pPr>
    </w:p>
    <w:p>
      <w:pPr>
        <w:spacing w:line="400" w:lineRule="exact"/>
        <w:rPr>
          <w:rFonts w:ascii="黑体" w:eastAsia="黑体"/>
          <w:kern w:val="0"/>
          <w:sz w:val="32"/>
          <w:szCs w:val="32"/>
        </w:rPr>
      </w:pPr>
    </w:p>
    <w:p>
      <w:pPr>
        <w:spacing w:line="400" w:lineRule="exact"/>
        <w:rPr>
          <w:rFonts w:asciiTheme="minorEastAsia" w:hAnsiTheme="minorEastAsia"/>
          <w:b/>
          <w:kern w:val="0"/>
          <w:sz w:val="24"/>
          <w:szCs w:val="24"/>
        </w:rPr>
      </w:pPr>
      <w:r>
        <w:rPr>
          <w:rFonts w:hint="eastAsia" w:asciiTheme="minorEastAsia" w:hAnsiTheme="minorEastAsia"/>
          <w:b/>
          <w:kern w:val="0"/>
          <w:sz w:val="24"/>
          <w:szCs w:val="24"/>
        </w:rPr>
        <w:t>附件2</w:t>
      </w:r>
    </w:p>
    <w:p>
      <w:pPr>
        <w:spacing w:line="400" w:lineRule="exact"/>
        <w:rPr>
          <w:rFonts w:ascii="黑体" w:eastAsia="黑体"/>
          <w:kern w:val="0"/>
          <w:sz w:val="28"/>
          <w:szCs w:val="26"/>
        </w:rPr>
      </w:pPr>
    </w:p>
    <w:p>
      <w:pPr>
        <w:spacing w:line="500" w:lineRule="exact"/>
        <w:jc w:val="center"/>
        <w:rPr>
          <w:rFonts w:asciiTheme="minorEastAsia" w:hAnsiTheme="minorEastAsia"/>
          <w:b/>
          <w:kern w:val="0"/>
          <w:sz w:val="32"/>
          <w:szCs w:val="32"/>
        </w:rPr>
      </w:pPr>
      <w:r>
        <w:rPr>
          <w:rFonts w:hint="eastAsia" w:asciiTheme="minorEastAsia" w:hAnsiTheme="minorEastAsia"/>
          <w:b/>
          <w:kern w:val="0"/>
          <w:sz w:val="32"/>
          <w:szCs w:val="32"/>
        </w:rPr>
        <w:t>内江师范学院</w:t>
      </w:r>
    </w:p>
    <w:p>
      <w:pPr>
        <w:spacing w:line="500" w:lineRule="exact"/>
        <w:jc w:val="center"/>
        <w:rPr>
          <w:rFonts w:asciiTheme="minorEastAsia" w:hAnsiTheme="minorEastAsia"/>
          <w:b/>
          <w:kern w:val="0"/>
          <w:sz w:val="32"/>
          <w:szCs w:val="32"/>
        </w:rPr>
      </w:pPr>
      <w:r>
        <w:rPr>
          <w:rFonts w:hint="eastAsia" w:asciiTheme="minorEastAsia" w:hAnsiTheme="minorEastAsia"/>
          <w:b/>
          <w:kern w:val="0"/>
          <w:sz w:val="32"/>
          <w:szCs w:val="32"/>
          <w:u w:val="single"/>
        </w:rPr>
        <w:t xml:space="preserve">     </w:t>
      </w:r>
      <w:r>
        <w:rPr>
          <w:rFonts w:hint="eastAsia" w:asciiTheme="minorEastAsia" w:hAnsiTheme="minorEastAsia"/>
          <w:b/>
          <w:kern w:val="0"/>
          <w:sz w:val="32"/>
          <w:szCs w:val="32"/>
        </w:rPr>
        <w:t>届普通本科毕业生申请授予学士学位汇总表</w:t>
      </w:r>
    </w:p>
    <w:p>
      <w:pPr>
        <w:spacing w:line="400" w:lineRule="exact"/>
        <w:jc w:val="center"/>
        <w:rPr>
          <w:rFonts w:asciiTheme="minorEastAsia" w:hAnsiTheme="minorEastAsia"/>
          <w:b/>
          <w:kern w:val="0"/>
          <w:szCs w:val="26"/>
        </w:rPr>
      </w:pPr>
    </w:p>
    <w:p>
      <w:pPr>
        <w:spacing w:line="400" w:lineRule="exact"/>
        <w:ind w:firstLine="240" w:firstLineChars="100"/>
        <w:rPr>
          <w:rFonts w:asciiTheme="minorEastAsia" w:hAnsiTheme="minorEastAsia"/>
          <w:kern w:val="0"/>
          <w:sz w:val="24"/>
          <w:szCs w:val="24"/>
        </w:rPr>
      </w:pPr>
      <w:r>
        <w:rPr>
          <w:rFonts w:hint="eastAsia" w:asciiTheme="minorEastAsia" w:hAnsiTheme="minorEastAsia"/>
          <w:kern w:val="0"/>
          <w:sz w:val="24"/>
          <w:szCs w:val="24"/>
        </w:rPr>
        <w:t xml:space="preserve">学院（公章）                 </w:t>
      </w:r>
      <w:r>
        <w:rPr>
          <w:rFonts w:hint="eastAsia" w:asciiTheme="minorEastAsia" w:hAnsiTheme="minorEastAsia"/>
          <w:sz w:val="24"/>
          <w:szCs w:val="24"/>
        </w:rPr>
        <w:t>评定分委员会主席</w:t>
      </w:r>
      <w:r>
        <w:rPr>
          <w:rFonts w:hint="eastAsia" w:asciiTheme="minorEastAsia" w:hAnsiTheme="minorEastAsia"/>
          <w:kern w:val="0"/>
          <w:sz w:val="24"/>
          <w:szCs w:val="24"/>
        </w:rPr>
        <w:t>签字：</w:t>
      </w:r>
    </w:p>
    <w:tbl>
      <w:tblPr>
        <w:tblStyle w:val="15"/>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03"/>
        <w:gridCol w:w="1310"/>
        <w:gridCol w:w="878"/>
        <w:gridCol w:w="221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1403" w:type="dxa"/>
            <w:vAlign w:val="center"/>
          </w:tcPr>
          <w:p>
            <w:pPr>
              <w:jc w:val="center"/>
              <w:rPr>
                <w:rFonts w:asciiTheme="minorEastAsia" w:hAnsiTheme="minorEastAsia"/>
                <w:sz w:val="24"/>
                <w:szCs w:val="24"/>
              </w:rPr>
            </w:pPr>
            <w:r>
              <w:rPr>
                <w:rFonts w:hint="eastAsia" w:asciiTheme="minorEastAsia" w:hAnsiTheme="minorEastAsia"/>
                <w:sz w:val="24"/>
                <w:szCs w:val="24"/>
              </w:rPr>
              <w:t>学 号</w:t>
            </w:r>
          </w:p>
        </w:tc>
        <w:tc>
          <w:tcPr>
            <w:tcW w:w="1310" w:type="dxa"/>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878"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2211" w:type="dxa"/>
            <w:vAlign w:val="center"/>
          </w:tcPr>
          <w:p>
            <w:pPr>
              <w:jc w:val="center"/>
              <w:rPr>
                <w:rFonts w:asciiTheme="minorEastAsia" w:hAnsiTheme="minorEastAsia"/>
                <w:sz w:val="24"/>
                <w:szCs w:val="24"/>
              </w:rPr>
            </w:pPr>
            <w:r>
              <w:rPr>
                <w:rFonts w:hint="eastAsia" w:asciiTheme="minorEastAsia" w:hAnsiTheme="minorEastAsia"/>
                <w:sz w:val="24"/>
                <w:szCs w:val="24"/>
              </w:rPr>
              <w:t>专业名称</w:t>
            </w:r>
          </w:p>
        </w:tc>
        <w:tc>
          <w:tcPr>
            <w:tcW w:w="1776" w:type="dxa"/>
            <w:vAlign w:val="center"/>
          </w:tcPr>
          <w:p>
            <w:pPr>
              <w:jc w:val="center"/>
              <w:rPr>
                <w:rFonts w:asciiTheme="minorEastAsia" w:hAnsiTheme="minorEastAsia"/>
                <w:sz w:val="24"/>
                <w:szCs w:val="24"/>
              </w:rPr>
            </w:pPr>
            <w:r>
              <w:rPr>
                <w:rFonts w:hint="eastAsia" w:asciiTheme="minorEastAsia" w:hAnsiTheme="minorEastAsia"/>
                <w:sz w:val="24"/>
                <w:szCs w:val="24"/>
              </w:rPr>
              <w:t>学位类别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68" w:type="dxa"/>
          </w:tcPr>
          <w:p>
            <w:pPr>
              <w:rPr>
                <w:rFonts w:ascii="宋体" w:hAnsi="宋体"/>
                <w:sz w:val="24"/>
                <w:szCs w:val="24"/>
              </w:rPr>
            </w:pPr>
          </w:p>
        </w:tc>
        <w:tc>
          <w:tcPr>
            <w:tcW w:w="1403" w:type="dxa"/>
          </w:tcPr>
          <w:p>
            <w:pPr>
              <w:rPr>
                <w:rFonts w:ascii="宋体" w:hAnsi="宋体"/>
                <w:sz w:val="24"/>
                <w:szCs w:val="24"/>
              </w:rPr>
            </w:pPr>
          </w:p>
        </w:tc>
        <w:tc>
          <w:tcPr>
            <w:tcW w:w="1310" w:type="dxa"/>
          </w:tcPr>
          <w:p>
            <w:pPr>
              <w:rPr>
                <w:rFonts w:ascii="宋体" w:hAnsi="宋体"/>
                <w:sz w:val="24"/>
                <w:szCs w:val="24"/>
              </w:rPr>
            </w:pPr>
          </w:p>
        </w:tc>
        <w:tc>
          <w:tcPr>
            <w:tcW w:w="878" w:type="dxa"/>
          </w:tcPr>
          <w:p>
            <w:pPr>
              <w:rPr>
                <w:rFonts w:ascii="宋体" w:hAnsi="宋体"/>
                <w:sz w:val="24"/>
                <w:szCs w:val="24"/>
              </w:rPr>
            </w:pPr>
          </w:p>
        </w:tc>
        <w:tc>
          <w:tcPr>
            <w:tcW w:w="2211" w:type="dxa"/>
          </w:tcPr>
          <w:p>
            <w:pPr>
              <w:rPr>
                <w:rFonts w:ascii="宋体" w:hAnsi="宋体"/>
                <w:sz w:val="24"/>
                <w:szCs w:val="24"/>
              </w:rPr>
            </w:pPr>
          </w:p>
        </w:tc>
        <w:tc>
          <w:tcPr>
            <w:tcW w:w="1776" w:type="dxa"/>
          </w:tcPr>
          <w:p>
            <w:pPr>
              <w:rPr>
                <w:rFonts w:ascii="宋体" w:hAnsi="宋体"/>
                <w:sz w:val="24"/>
                <w:szCs w:val="24"/>
              </w:rPr>
            </w:pPr>
          </w:p>
        </w:tc>
      </w:tr>
    </w:tbl>
    <w:p>
      <w:pPr>
        <w:ind w:firstLine="480" w:firstLineChars="200"/>
        <w:jc w:val="right"/>
        <w:rPr>
          <w:rFonts w:ascii="方正仿宋简体" w:hAnsi="宋体" w:eastAsia="方正仿宋简体"/>
          <w:sz w:val="24"/>
          <w:szCs w:val="24"/>
        </w:rPr>
      </w:pPr>
      <w:r>
        <w:rPr>
          <w:rFonts w:hint="eastAsia" w:ascii="宋体" w:hAnsi="宋体"/>
          <w:sz w:val="24"/>
          <w:szCs w:val="24"/>
        </w:rPr>
        <w:t xml:space="preserve">                                        </w:t>
      </w:r>
      <w:r>
        <w:rPr>
          <w:rFonts w:hint="eastAsia" w:ascii="方正仿宋简体" w:hAnsi="宋体" w:eastAsia="方正仿宋简体"/>
          <w:sz w:val="24"/>
          <w:szCs w:val="24"/>
        </w:rPr>
        <w:t xml:space="preserve"> 年    月    日</w:t>
      </w:r>
    </w:p>
    <w:p>
      <w:pPr>
        <w:spacing w:line="400" w:lineRule="exact"/>
        <w:rPr>
          <w:rFonts w:ascii="黑体" w:eastAsia="黑体"/>
          <w:kern w:val="0"/>
          <w:sz w:val="24"/>
          <w:szCs w:val="24"/>
        </w:rPr>
      </w:pPr>
    </w:p>
    <w:p>
      <w:pPr>
        <w:spacing w:line="400" w:lineRule="exact"/>
        <w:rPr>
          <w:rFonts w:hint="eastAsia" w:ascii="黑体" w:eastAsia="黑体"/>
          <w:kern w:val="0"/>
          <w:sz w:val="28"/>
          <w:szCs w:val="26"/>
        </w:rPr>
      </w:pPr>
    </w:p>
    <w:p>
      <w:pPr>
        <w:spacing w:line="400" w:lineRule="exact"/>
        <w:rPr>
          <w:rFonts w:asciiTheme="minorEastAsia" w:hAnsiTheme="minorEastAsia"/>
          <w:b/>
          <w:kern w:val="0"/>
          <w:sz w:val="24"/>
          <w:szCs w:val="24"/>
        </w:rPr>
      </w:pPr>
    </w:p>
    <w:p>
      <w:pPr>
        <w:spacing w:line="400" w:lineRule="exact"/>
        <w:rPr>
          <w:rFonts w:asciiTheme="minorEastAsia" w:hAnsiTheme="minorEastAsia"/>
          <w:b/>
          <w:kern w:val="0"/>
          <w:sz w:val="24"/>
          <w:szCs w:val="24"/>
        </w:rPr>
      </w:pPr>
    </w:p>
    <w:p>
      <w:pPr>
        <w:spacing w:line="400" w:lineRule="exact"/>
        <w:rPr>
          <w:rFonts w:asciiTheme="minorEastAsia" w:hAnsiTheme="minorEastAsia"/>
          <w:b/>
          <w:kern w:val="0"/>
          <w:sz w:val="24"/>
          <w:szCs w:val="24"/>
        </w:rPr>
      </w:pPr>
      <w:r>
        <w:rPr>
          <w:rFonts w:hint="eastAsia" w:asciiTheme="minorEastAsia" w:hAnsiTheme="minorEastAsia"/>
          <w:b/>
          <w:kern w:val="0"/>
          <w:sz w:val="24"/>
          <w:szCs w:val="24"/>
        </w:rPr>
        <w:t>附件3</w:t>
      </w:r>
    </w:p>
    <w:p>
      <w:pPr>
        <w:spacing w:line="500" w:lineRule="exact"/>
        <w:jc w:val="center"/>
        <w:rPr>
          <w:rFonts w:asciiTheme="minorEastAsia" w:hAnsiTheme="minorEastAsia"/>
          <w:b/>
          <w:kern w:val="0"/>
          <w:sz w:val="32"/>
          <w:szCs w:val="32"/>
        </w:rPr>
      </w:pPr>
      <w:r>
        <w:rPr>
          <w:rFonts w:hint="eastAsia" w:asciiTheme="minorEastAsia" w:hAnsiTheme="minorEastAsia"/>
          <w:b/>
          <w:kern w:val="0"/>
          <w:sz w:val="32"/>
          <w:szCs w:val="32"/>
        </w:rPr>
        <w:t>内江师范学院</w:t>
      </w:r>
    </w:p>
    <w:p>
      <w:pPr>
        <w:spacing w:line="500" w:lineRule="exact"/>
        <w:jc w:val="center"/>
        <w:rPr>
          <w:rFonts w:asciiTheme="minorEastAsia" w:hAnsiTheme="minorEastAsia"/>
          <w:b/>
          <w:kern w:val="0"/>
          <w:sz w:val="32"/>
          <w:szCs w:val="32"/>
        </w:rPr>
      </w:pPr>
      <w:r>
        <w:rPr>
          <w:rFonts w:hint="eastAsia" w:asciiTheme="minorEastAsia" w:hAnsiTheme="minorEastAsia"/>
          <w:b/>
          <w:kern w:val="0"/>
          <w:sz w:val="32"/>
          <w:szCs w:val="32"/>
          <w:u w:val="single"/>
        </w:rPr>
        <w:t xml:space="preserve">     </w:t>
      </w:r>
      <w:r>
        <w:rPr>
          <w:rFonts w:hint="eastAsia" w:asciiTheme="minorEastAsia" w:hAnsiTheme="minorEastAsia"/>
          <w:b/>
          <w:kern w:val="0"/>
          <w:sz w:val="32"/>
          <w:szCs w:val="32"/>
        </w:rPr>
        <w:t>届普通本科毕业生不符合学士学位授予条件汇总表</w:t>
      </w:r>
    </w:p>
    <w:p>
      <w:pPr>
        <w:spacing w:line="400" w:lineRule="exact"/>
        <w:jc w:val="center"/>
        <w:rPr>
          <w:rFonts w:asciiTheme="minorEastAsia" w:hAnsiTheme="minorEastAsia"/>
          <w:kern w:val="0"/>
          <w:sz w:val="30"/>
          <w:szCs w:val="30"/>
        </w:rPr>
      </w:pPr>
    </w:p>
    <w:p>
      <w:pPr>
        <w:spacing w:line="400" w:lineRule="exact"/>
        <w:rPr>
          <w:rFonts w:asciiTheme="minorEastAsia" w:hAnsiTheme="minorEastAsia"/>
          <w:kern w:val="0"/>
          <w:sz w:val="28"/>
          <w:szCs w:val="28"/>
        </w:rPr>
      </w:pPr>
      <w:r>
        <w:rPr>
          <w:rFonts w:hint="eastAsia" w:asciiTheme="minorEastAsia" w:hAnsiTheme="minorEastAsia"/>
          <w:kern w:val="0"/>
          <w:sz w:val="28"/>
          <w:szCs w:val="28"/>
        </w:rPr>
        <w:t xml:space="preserve">学院（公章）                 </w:t>
      </w:r>
      <w:r>
        <w:rPr>
          <w:rFonts w:hint="eastAsia" w:asciiTheme="minorEastAsia" w:hAnsiTheme="minorEastAsia"/>
          <w:sz w:val="28"/>
          <w:szCs w:val="28"/>
        </w:rPr>
        <w:t>评定分委员会主席</w:t>
      </w:r>
      <w:r>
        <w:rPr>
          <w:rFonts w:hint="eastAsia" w:asciiTheme="minorEastAsia" w:hAnsiTheme="minorEastAsia"/>
          <w:kern w:val="0"/>
          <w:sz w:val="28"/>
          <w:szCs w:val="28"/>
        </w:rPr>
        <w:t>签字：</w:t>
      </w:r>
    </w:p>
    <w:tbl>
      <w:tblPr>
        <w:tblStyle w:val="15"/>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65"/>
        <w:gridCol w:w="1142"/>
        <w:gridCol w:w="973"/>
        <w:gridCol w:w="1377"/>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1665" w:type="dxa"/>
            <w:vAlign w:val="center"/>
          </w:tcPr>
          <w:p>
            <w:pPr>
              <w:jc w:val="center"/>
              <w:rPr>
                <w:rFonts w:asciiTheme="minorEastAsia" w:hAnsiTheme="minorEastAsia"/>
                <w:sz w:val="24"/>
                <w:szCs w:val="24"/>
              </w:rPr>
            </w:pPr>
            <w:r>
              <w:rPr>
                <w:rFonts w:hint="eastAsia" w:asciiTheme="minorEastAsia" w:hAnsiTheme="minorEastAsia"/>
                <w:sz w:val="24"/>
                <w:szCs w:val="24"/>
              </w:rPr>
              <w:t>学 号</w:t>
            </w:r>
          </w:p>
        </w:tc>
        <w:tc>
          <w:tcPr>
            <w:tcW w:w="1142" w:type="dxa"/>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973"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77" w:type="dxa"/>
            <w:vAlign w:val="center"/>
          </w:tcPr>
          <w:p>
            <w:pPr>
              <w:jc w:val="center"/>
              <w:rPr>
                <w:rFonts w:asciiTheme="minorEastAsia" w:hAnsiTheme="minorEastAsia"/>
                <w:sz w:val="24"/>
                <w:szCs w:val="24"/>
              </w:rPr>
            </w:pPr>
            <w:r>
              <w:rPr>
                <w:rFonts w:hint="eastAsia" w:asciiTheme="minorEastAsia" w:hAnsiTheme="minorEastAsia"/>
                <w:sz w:val="24"/>
                <w:szCs w:val="24"/>
              </w:rPr>
              <w:t>专业</w:t>
            </w:r>
          </w:p>
        </w:tc>
        <w:tc>
          <w:tcPr>
            <w:tcW w:w="2370" w:type="dxa"/>
            <w:vAlign w:val="center"/>
          </w:tcPr>
          <w:p>
            <w:pPr>
              <w:jc w:val="center"/>
              <w:rPr>
                <w:rFonts w:asciiTheme="minorEastAsia" w:hAnsiTheme="minorEastAsia"/>
                <w:sz w:val="24"/>
                <w:szCs w:val="24"/>
              </w:rPr>
            </w:pPr>
            <w:r>
              <w:rPr>
                <w:rFonts w:hint="eastAsia" w:asciiTheme="minorEastAsia" w:hAnsiTheme="minorEastAsia"/>
                <w:sz w:val="24"/>
                <w:szCs w:val="24"/>
              </w:rPr>
              <w:t>不授予学位原因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Theme="minorEastAsia" w:hAnsiTheme="minorEastAsia"/>
                <w:sz w:val="24"/>
                <w:szCs w:val="24"/>
              </w:rPr>
            </w:pPr>
          </w:p>
        </w:tc>
        <w:tc>
          <w:tcPr>
            <w:tcW w:w="1665" w:type="dxa"/>
          </w:tcPr>
          <w:p>
            <w:pPr>
              <w:rPr>
                <w:rFonts w:asciiTheme="minorEastAsia" w:hAnsiTheme="minorEastAsia"/>
                <w:sz w:val="24"/>
                <w:szCs w:val="24"/>
              </w:rPr>
            </w:pPr>
          </w:p>
        </w:tc>
        <w:tc>
          <w:tcPr>
            <w:tcW w:w="1142" w:type="dxa"/>
          </w:tcPr>
          <w:p>
            <w:pPr>
              <w:rPr>
                <w:rFonts w:asciiTheme="minorEastAsia" w:hAnsiTheme="minorEastAsia"/>
                <w:sz w:val="24"/>
                <w:szCs w:val="24"/>
              </w:rPr>
            </w:pPr>
          </w:p>
        </w:tc>
        <w:tc>
          <w:tcPr>
            <w:tcW w:w="973" w:type="dxa"/>
          </w:tcPr>
          <w:p>
            <w:pPr>
              <w:rPr>
                <w:rFonts w:asciiTheme="minorEastAsia" w:hAnsiTheme="minorEastAsia"/>
                <w:sz w:val="24"/>
                <w:szCs w:val="24"/>
              </w:rPr>
            </w:pPr>
          </w:p>
        </w:tc>
        <w:tc>
          <w:tcPr>
            <w:tcW w:w="1377" w:type="dxa"/>
          </w:tcPr>
          <w:p>
            <w:pPr>
              <w:rPr>
                <w:rFonts w:asciiTheme="minorEastAsia" w:hAnsiTheme="minorEastAsia"/>
                <w:sz w:val="24"/>
                <w:szCs w:val="24"/>
              </w:rPr>
            </w:pPr>
          </w:p>
        </w:tc>
        <w:tc>
          <w:tcPr>
            <w:tcW w:w="2370"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Theme="minorEastAsia" w:hAnsiTheme="minorEastAsia"/>
                <w:sz w:val="24"/>
                <w:szCs w:val="24"/>
              </w:rPr>
            </w:pPr>
          </w:p>
        </w:tc>
        <w:tc>
          <w:tcPr>
            <w:tcW w:w="1665" w:type="dxa"/>
          </w:tcPr>
          <w:p>
            <w:pPr>
              <w:rPr>
                <w:rFonts w:asciiTheme="minorEastAsia" w:hAnsiTheme="minorEastAsia"/>
                <w:sz w:val="24"/>
                <w:szCs w:val="24"/>
              </w:rPr>
            </w:pPr>
          </w:p>
        </w:tc>
        <w:tc>
          <w:tcPr>
            <w:tcW w:w="1142" w:type="dxa"/>
          </w:tcPr>
          <w:p>
            <w:pPr>
              <w:rPr>
                <w:rFonts w:asciiTheme="minorEastAsia" w:hAnsiTheme="minorEastAsia"/>
                <w:sz w:val="24"/>
                <w:szCs w:val="24"/>
              </w:rPr>
            </w:pPr>
          </w:p>
        </w:tc>
        <w:tc>
          <w:tcPr>
            <w:tcW w:w="973" w:type="dxa"/>
          </w:tcPr>
          <w:p>
            <w:pPr>
              <w:rPr>
                <w:rFonts w:asciiTheme="minorEastAsia" w:hAnsiTheme="minorEastAsia"/>
                <w:sz w:val="24"/>
                <w:szCs w:val="24"/>
              </w:rPr>
            </w:pPr>
          </w:p>
        </w:tc>
        <w:tc>
          <w:tcPr>
            <w:tcW w:w="1377" w:type="dxa"/>
          </w:tcPr>
          <w:p>
            <w:pPr>
              <w:rPr>
                <w:rFonts w:asciiTheme="minorEastAsia" w:hAnsiTheme="minorEastAsia"/>
                <w:sz w:val="24"/>
                <w:szCs w:val="24"/>
              </w:rPr>
            </w:pPr>
          </w:p>
        </w:tc>
        <w:tc>
          <w:tcPr>
            <w:tcW w:w="2370"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 w:type="dxa"/>
          </w:tcPr>
          <w:p>
            <w:pPr>
              <w:rPr>
                <w:rFonts w:ascii="宋体" w:hAnsi="宋体"/>
                <w:sz w:val="28"/>
              </w:rPr>
            </w:pPr>
          </w:p>
        </w:tc>
        <w:tc>
          <w:tcPr>
            <w:tcW w:w="1665" w:type="dxa"/>
          </w:tcPr>
          <w:p>
            <w:pPr>
              <w:rPr>
                <w:rFonts w:ascii="宋体" w:hAnsi="宋体"/>
                <w:sz w:val="28"/>
              </w:rPr>
            </w:pPr>
          </w:p>
        </w:tc>
        <w:tc>
          <w:tcPr>
            <w:tcW w:w="1142" w:type="dxa"/>
          </w:tcPr>
          <w:p>
            <w:pPr>
              <w:rPr>
                <w:rFonts w:ascii="宋体" w:hAnsi="宋体"/>
                <w:sz w:val="28"/>
              </w:rPr>
            </w:pPr>
          </w:p>
        </w:tc>
        <w:tc>
          <w:tcPr>
            <w:tcW w:w="973" w:type="dxa"/>
          </w:tcPr>
          <w:p>
            <w:pPr>
              <w:rPr>
                <w:rFonts w:ascii="宋体" w:hAnsi="宋体"/>
                <w:sz w:val="28"/>
              </w:rPr>
            </w:pPr>
          </w:p>
        </w:tc>
        <w:tc>
          <w:tcPr>
            <w:tcW w:w="1377" w:type="dxa"/>
          </w:tcPr>
          <w:p>
            <w:pPr>
              <w:rPr>
                <w:rFonts w:ascii="宋体" w:hAnsi="宋体"/>
                <w:sz w:val="28"/>
              </w:rPr>
            </w:pPr>
          </w:p>
        </w:tc>
        <w:tc>
          <w:tcPr>
            <w:tcW w:w="2370" w:type="dxa"/>
          </w:tcPr>
          <w:p>
            <w:pPr>
              <w:rPr>
                <w:rFonts w:ascii="宋体" w:hAnsi="宋体"/>
                <w:sz w:val="28"/>
              </w:rPr>
            </w:pPr>
          </w:p>
        </w:tc>
      </w:tr>
    </w:tbl>
    <w:p>
      <w:pPr>
        <w:spacing w:line="540" w:lineRule="exact"/>
        <w:ind w:firstLine="560" w:firstLineChars="200"/>
        <w:rPr>
          <w:rFonts w:ascii="方正仿宋简体" w:hAnsi="宋体" w:eastAsia="方正仿宋简体"/>
          <w:sz w:val="24"/>
          <w:szCs w:val="24"/>
        </w:rPr>
      </w:pPr>
      <w:r>
        <w:rPr>
          <w:rFonts w:hint="eastAsia" w:ascii="宋体" w:hAnsi="宋体"/>
          <w:sz w:val="28"/>
        </w:rPr>
        <w:t xml:space="preserve">                                       </w:t>
      </w:r>
      <w:r>
        <w:rPr>
          <w:rFonts w:hint="eastAsia" w:ascii="宋体" w:hAnsi="宋体"/>
          <w:sz w:val="24"/>
          <w:szCs w:val="24"/>
        </w:rPr>
        <w:t xml:space="preserve"> </w:t>
      </w:r>
      <w:r>
        <w:rPr>
          <w:rFonts w:hint="eastAsia" w:ascii="方正仿宋简体" w:hAnsi="宋体" w:eastAsia="方正仿宋简体"/>
          <w:sz w:val="24"/>
          <w:szCs w:val="24"/>
        </w:rPr>
        <w:t>年    月    日</w:t>
      </w:r>
    </w:p>
    <w:p>
      <w:pPr>
        <w:spacing w:line="540" w:lineRule="exact"/>
        <w:ind w:firstLine="560" w:firstLineChars="200"/>
        <w:rPr>
          <w:rFonts w:ascii="方正仿宋简体" w:hAnsi="宋体" w:eastAsia="方正仿宋简体"/>
          <w:sz w:val="28"/>
        </w:rPr>
      </w:pPr>
    </w:p>
    <w:p>
      <w:pPr>
        <w:spacing w:line="360" w:lineRule="auto"/>
        <w:jc w:val="left"/>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w w:val="90"/>
          <w:sz w:val="32"/>
          <w:szCs w:val="32"/>
        </w:rPr>
      </w:pPr>
      <w:r>
        <w:rPr>
          <w:rFonts w:hint="eastAsia" w:asciiTheme="majorEastAsia" w:hAnsiTheme="majorEastAsia" w:eastAsiaTheme="majorEastAsia"/>
          <w:b/>
          <w:w w:val="90"/>
          <w:sz w:val="32"/>
          <w:szCs w:val="32"/>
        </w:rPr>
        <w:t>内江师范学院学生转学管理办法</w:t>
      </w:r>
    </w:p>
    <w:p>
      <w:pPr>
        <w:widowControl/>
        <w:spacing w:line="560" w:lineRule="exact"/>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内师院发〔</w:t>
      </w:r>
      <w:r>
        <w:rPr>
          <w:rFonts w:cs="宋体" w:asciiTheme="majorEastAsia" w:hAnsiTheme="majorEastAsia" w:eastAsiaTheme="majorEastAsia"/>
          <w:b/>
          <w:kern w:val="0"/>
          <w:sz w:val="28"/>
          <w:szCs w:val="28"/>
        </w:rPr>
        <w:t>2017〕</w:t>
      </w:r>
      <w:r>
        <w:rPr>
          <w:rFonts w:hint="eastAsia" w:cs="宋体" w:asciiTheme="majorEastAsia" w:hAnsiTheme="majorEastAsia" w:eastAsiaTheme="majorEastAsia"/>
          <w:b/>
          <w:kern w:val="0"/>
          <w:sz w:val="28"/>
          <w:szCs w:val="28"/>
        </w:rPr>
        <w:t>94</w:t>
      </w:r>
      <w:r>
        <w:rPr>
          <w:rFonts w:cs="宋体" w:asciiTheme="majorEastAsia" w:hAnsiTheme="majorEastAsia" w:eastAsiaTheme="majorEastAsia"/>
          <w:b/>
          <w:kern w:val="0"/>
          <w:sz w:val="28"/>
          <w:szCs w:val="28"/>
        </w:rPr>
        <w:t>号</w:t>
      </w:r>
    </w:p>
    <w:p>
      <w:pPr>
        <w:widowControl/>
        <w:spacing w:line="560" w:lineRule="exact"/>
        <w:jc w:val="center"/>
        <w:rPr>
          <w:rFonts w:cs="宋体" w:asciiTheme="majorEastAsia" w:hAnsiTheme="majorEastAsia" w:eastAsiaTheme="majorEastAsia"/>
          <w:b/>
          <w:kern w:val="0"/>
          <w:sz w:val="28"/>
          <w:szCs w:val="28"/>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为贯彻教育部《普通高等学校学生管理规定》（教育部第41号令）、《教育部办公厅关于进一步规范普通高等学校转学工作的通知》（教学厅〔</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号）、《四川省教育厅关于进一步做好普通高等学校学生转学备案工作的通知》（川教函〔</w:t>
      </w:r>
      <w:r>
        <w:rPr>
          <w:rFonts w:asciiTheme="minorEastAsia" w:hAnsiTheme="minorEastAsia" w:eastAsiaTheme="minorEastAsia"/>
          <w:sz w:val="24"/>
          <w:szCs w:val="24"/>
        </w:rPr>
        <w:t>201</w:t>
      </w:r>
      <w:r>
        <w:rPr>
          <w:rFonts w:hint="eastAsia" w:asciiTheme="minorEastAsia" w:hAnsiTheme="minorEastAsia" w:eastAsiaTheme="minorEastAsia"/>
          <w:sz w:val="24"/>
          <w:szCs w:val="24"/>
        </w:rPr>
        <w:t>7〕341号）文件精神，根据《内江师范学院学生学籍管理规定》（内师院发〔</w:t>
      </w:r>
      <w:r>
        <w:rPr>
          <w:rFonts w:asciiTheme="minorEastAsia" w:hAnsiTheme="minorEastAsia" w:eastAsiaTheme="minorEastAsia"/>
          <w:sz w:val="24"/>
          <w:szCs w:val="24"/>
        </w:rPr>
        <w:t>201</w:t>
      </w:r>
      <w:r>
        <w:rPr>
          <w:rFonts w:hint="eastAsia" w:asciiTheme="minorEastAsia" w:hAnsiTheme="minorEastAsia" w:eastAsiaTheme="minorEastAsia"/>
          <w:sz w:val="24"/>
          <w:szCs w:val="24"/>
        </w:rPr>
        <w:t>7〕93号），制定本办法。</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一、组织管理 </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学校成立由校长任组长、分管教学工作的副校长任副组长，监察处、教务处、招生就业处负责人组成的转学管理工作领导小组，负责转学工作的组织领导与监督。 </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严格按照“分级管理、分级负责、谁主管、谁负责”的原则，建立“学校党政统一领导，职能部门具体落实”的管理工作运行机制，分工明确、责任到人。 </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二、转学条件</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学生一般应当在本校完成学业。因患病或者有特殊困难、特别需要，无法继续在本校学习或者不适应本校学习要求的，可以申请转学。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学生有下列情形之一，不得转学：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入学未满一学期或者毕业前一年的；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高考成绩低于拟转入学校相关专业同一生源地相应年份录取成绩的；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由低学历层次转为高学历层次的；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以定向就业招生录取的；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跨学科门类的；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 未通过普通高等学校招生全国统一考试或未使用高考成绩录取入学的；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 予退学的；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 无正当转学理由的。</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三、转学备案材料</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1．四川省普通高等学校学生转学备案表；（一式三份，详见附件）；</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2．学生转学申请书（一式三份，加盖教务处章）；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3．学生在校期间表现鉴定（一式三份，加盖学院系章）；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4．学生每学期成绩单（一式三份，加盖教务处章）；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5．学生录取花名册（一式三份，加盖招生部门章）；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 拟转入专业当年录取花名册（一式三份，加盖招生部门章）；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 相关证明材料：</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① 因患病转学的，出具学校</w:t>
      </w:r>
      <w:r>
        <w:rPr>
          <w:rFonts w:asciiTheme="minorEastAsia" w:hAnsiTheme="minorEastAsia" w:eastAsiaTheme="minorEastAsia"/>
          <w:sz w:val="24"/>
          <w:szCs w:val="24"/>
        </w:rPr>
        <w:t>指定</w:t>
      </w:r>
      <w:r>
        <w:rPr>
          <w:rFonts w:hint="eastAsia" w:asciiTheme="minorEastAsia" w:hAnsiTheme="minorEastAsia" w:eastAsiaTheme="minorEastAsia"/>
          <w:sz w:val="24"/>
          <w:szCs w:val="24"/>
        </w:rPr>
        <w:t>的二级</w:t>
      </w:r>
      <w:r>
        <w:rPr>
          <w:rFonts w:asciiTheme="minorEastAsia" w:hAnsiTheme="minorEastAsia" w:eastAsiaTheme="minorEastAsia"/>
          <w:sz w:val="24"/>
          <w:szCs w:val="24"/>
        </w:rPr>
        <w:t>甲等及以上医院检查证明</w:t>
      </w:r>
      <w:r>
        <w:rPr>
          <w:rFonts w:hint="eastAsia" w:asciiTheme="minorEastAsia" w:hAnsiTheme="minorEastAsia" w:eastAsiaTheme="minorEastAsia"/>
          <w:sz w:val="24"/>
          <w:szCs w:val="24"/>
        </w:rPr>
        <w:t>（一式三份，加盖医院病情证明专用章）；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② 因特殊困难、特别需要转学的，出具特殊困难、特别需要证明材料（一式三份，加盖学校教务处章）；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 拟转入院（系）集体研究会议纪要（一式三份，加盖院系章）；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 拟转入学校集体研究会议纪要（一式三份，加盖校章）；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 转出学校公示情况及结果（提供学校公示截图，公示时间不低于5个工作日，公示结果由公示部门出具，一式三份，加盖公示部门章）；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 拟转入学校公示情况及结果（提供学校公示截图，公示时间不低于5个工作日，公示结果由公示部门出具，一式三份，加盖公示部门章）。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如若跨省转学，以上材料均需多备一份。</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四、转学流程及办理时间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转入流程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经转出学校同意，按转学备案材料要求将相关材料准备齐全，由我校负责审核转学条件及相关证明，认为符合我校培养要求且学校有培养能力的，经学校校长办公会或者专题会议研究决定公示无异议后，办理转学手续，转入我校学习。</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如跨省转入我校，经双方学校同意后，需先报转出学校所在地省级教育行政部门备案，再报送四川省教育厅高校学生工作处备案，其余流程与省内转学相同。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转出流程</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转学学生经所在二级学院、学校教务处、分管校长同意后，学生按转入学校要求准备转学材料，由转入学校负责审核转学条件及相关证明，经双方学校同意后，办理转学手续，转出我校。</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如跨省转校，经双方学校同意后，需先报四川省教育厅高校学生工作处备案，再报送转入学校所在地省级教育行政部门备案，其余流程与省内转学相同。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办理时间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学校每年6月和12月的工作日办理转学手续，其余时间不予办理。</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五、转学材料备案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转入我校学生完成转学手续，学校将在3个月内（以《四川省普通高等学校学生转学备案表》签字时间为准），将转入我校学生的转学材料报四川省教育厅高校学生工作处备案。</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六、本办法自发布之日起执行，教务处负责解释。                                 </w:t>
      </w:r>
    </w:p>
    <w:p>
      <w:pPr>
        <w:pStyle w:val="19"/>
        <w:spacing w:line="360" w:lineRule="auto"/>
        <w:ind w:firstLine="480"/>
        <w:rPr>
          <w:rFonts w:asciiTheme="minorEastAsia" w:hAnsiTheme="minorEastAsia" w:eastAsiaTheme="minorEastAsia"/>
          <w:sz w:val="24"/>
          <w:szCs w:val="24"/>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附件：1. 四川省普通高等学校学生转学备案表（省内专用）</w:t>
      </w:r>
    </w:p>
    <w:p>
      <w:pPr>
        <w:pStyle w:val="19"/>
        <w:spacing w:line="360" w:lineRule="auto"/>
        <w:ind w:firstLine="1192" w:firstLineChars="49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四川省普通高等学校学生转学备案表（跨省专用）                             </w:t>
      </w:r>
    </w:p>
    <w:p>
      <w:pPr>
        <w:spacing w:line="360" w:lineRule="auto"/>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2017年9月1日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560" w:lineRule="exact"/>
        <w:ind w:right="-178" w:rightChars="-85"/>
        <w:rPr>
          <w:rFonts w:ascii="黑体" w:hAnsi="黑体" w:eastAsia="黑体"/>
          <w:sz w:val="30"/>
          <w:szCs w:val="30"/>
        </w:rPr>
      </w:pPr>
    </w:p>
    <w:p>
      <w:pPr>
        <w:spacing w:line="560" w:lineRule="exact"/>
        <w:ind w:right="-178" w:rightChars="-85"/>
        <w:rPr>
          <w:rFonts w:ascii="黑体" w:hAnsi="黑体" w:eastAsia="黑体"/>
          <w:sz w:val="30"/>
          <w:szCs w:val="30"/>
        </w:rPr>
      </w:pPr>
    </w:p>
    <w:p>
      <w:pPr>
        <w:spacing w:line="560" w:lineRule="exact"/>
        <w:ind w:right="-178" w:rightChars="-85"/>
        <w:rPr>
          <w:rFonts w:ascii="黑体" w:hAnsi="黑体" w:eastAsia="黑体"/>
          <w:sz w:val="30"/>
          <w:szCs w:val="30"/>
        </w:rPr>
      </w:pPr>
    </w:p>
    <w:p>
      <w:pPr>
        <w:spacing w:line="560" w:lineRule="exact"/>
        <w:ind w:right="-178" w:rightChars="-85"/>
        <w:rPr>
          <w:rFonts w:ascii="黑体" w:hAnsi="黑体" w:eastAsia="黑体"/>
          <w:sz w:val="30"/>
          <w:szCs w:val="30"/>
        </w:rPr>
      </w:pPr>
    </w:p>
    <w:p>
      <w:pPr>
        <w:spacing w:line="560" w:lineRule="exact"/>
        <w:ind w:right="-178" w:rightChars="-85"/>
        <w:rPr>
          <w:rFonts w:ascii="黑体" w:hAnsi="黑体" w:eastAsia="黑体"/>
          <w:sz w:val="30"/>
          <w:szCs w:val="30"/>
        </w:rPr>
      </w:pPr>
    </w:p>
    <w:p>
      <w:pPr>
        <w:spacing w:line="560" w:lineRule="exact"/>
        <w:ind w:right="-178" w:rightChars="-85"/>
        <w:rPr>
          <w:rFonts w:ascii="黑体" w:hAnsi="黑体" w:eastAsia="黑体"/>
          <w:sz w:val="30"/>
          <w:szCs w:val="30"/>
        </w:rPr>
      </w:pPr>
      <w:r>
        <w:rPr>
          <w:rFonts w:hint="eastAsia" w:ascii="黑体" w:hAnsi="黑体" w:eastAsia="黑体"/>
          <w:sz w:val="30"/>
          <w:szCs w:val="30"/>
        </w:rPr>
        <w:t>附件1</w:t>
      </w:r>
    </w:p>
    <w:p>
      <w:pPr>
        <w:spacing w:line="560" w:lineRule="exact"/>
        <w:ind w:right="-178" w:rightChars="-85"/>
        <w:jc w:val="center"/>
        <w:rPr>
          <w:rFonts w:ascii="黑体" w:hAnsi="黑体" w:eastAsia="黑体"/>
          <w:sz w:val="32"/>
          <w:szCs w:val="32"/>
        </w:rPr>
      </w:pPr>
      <w:r>
        <w:rPr>
          <w:rFonts w:hint="eastAsia" w:ascii="黑体" w:hAnsi="黑体" w:eastAsia="黑体"/>
          <w:sz w:val="32"/>
          <w:szCs w:val="32"/>
        </w:rPr>
        <w:t>四川省普通高等学校学生转学备案表</w:t>
      </w:r>
    </w:p>
    <w:p>
      <w:pPr>
        <w:spacing w:line="560" w:lineRule="exact"/>
        <w:ind w:right="-178" w:rightChars="-85"/>
        <w:jc w:val="center"/>
        <w:rPr>
          <w:rFonts w:ascii="Times New Roman" w:eastAsia="仿宋_GB2312"/>
          <w:sz w:val="24"/>
          <w:szCs w:val="24"/>
        </w:rPr>
      </w:pPr>
      <w:r>
        <w:rPr>
          <w:rFonts w:hint="eastAsia" w:ascii="楷体_GB2312" w:eastAsia="楷体_GB2312"/>
          <w:szCs w:val="32"/>
        </w:rPr>
        <w:t>（省内专用）</w:t>
      </w:r>
      <w:r>
        <w:rPr>
          <w:sz w:val="24"/>
          <w:szCs w:val="24"/>
        </w:rPr>
        <w:t xml:space="preserve">                                  </w:t>
      </w:r>
    </w:p>
    <w:p>
      <w:pPr>
        <w:spacing w:line="560" w:lineRule="exact"/>
        <w:ind w:left="-178" w:leftChars="-85" w:right="-178" w:rightChars="-85" w:firstLine="205" w:firstLineChars="85"/>
        <w:jc w:val="right"/>
        <w:rPr>
          <w:sz w:val="24"/>
          <w:szCs w:val="24"/>
        </w:rPr>
      </w:pPr>
      <w:r>
        <w:rPr>
          <w:rFonts w:hint="eastAsia"/>
          <w:b/>
          <w:sz w:val="24"/>
          <w:szCs w:val="24"/>
        </w:rPr>
        <w:t>川教学籍字</w:t>
      </w: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b/>
          <w:sz w:val="24"/>
          <w:szCs w:val="24"/>
        </w:rPr>
        <w:t>号</w:t>
      </w:r>
    </w:p>
    <w:tbl>
      <w:tblPr>
        <w:tblStyle w:val="15"/>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9"/>
        <w:gridCol w:w="567"/>
        <w:gridCol w:w="482"/>
        <w:gridCol w:w="720"/>
        <w:gridCol w:w="540"/>
        <w:gridCol w:w="720"/>
        <w:gridCol w:w="720"/>
        <w:gridCol w:w="929"/>
        <w:gridCol w:w="993"/>
        <w:gridCol w:w="692"/>
        <w:gridCol w:w="65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姓名</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性别</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民族</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入学</w:t>
            </w:r>
          </w:p>
          <w:p>
            <w:pPr>
              <w:jc w:val="center"/>
              <w:rPr>
                <w:rFonts w:ascii="宋体" w:hAnsi="宋体" w:eastAsia="宋体"/>
                <w:szCs w:val="21"/>
              </w:rPr>
            </w:pPr>
            <w:r>
              <w:rPr>
                <w:rFonts w:hint="eastAsia" w:ascii="宋体" w:hAnsi="宋体" w:eastAsia="宋体"/>
                <w:szCs w:val="21"/>
              </w:rPr>
              <w:t>时间</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考生号</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联系</w:t>
            </w:r>
          </w:p>
          <w:p>
            <w:pPr>
              <w:jc w:val="center"/>
              <w:rPr>
                <w:rFonts w:ascii="宋体" w:hAnsi="宋体" w:eastAsia="宋体"/>
                <w:szCs w:val="21"/>
              </w:rPr>
            </w:pPr>
            <w:r>
              <w:rPr>
                <w:rFonts w:hint="eastAsia" w:ascii="宋体" w:hAnsi="宋体" w:eastAsia="宋体"/>
                <w:szCs w:val="21"/>
              </w:rPr>
              <w:t>电话</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身份证号</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学校</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年级</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专业</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分数</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学历</w:t>
            </w:r>
          </w:p>
          <w:p>
            <w:pPr>
              <w:jc w:val="center"/>
              <w:rPr>
                <w:rFonts w:ascii="宋体" w:hAnsi="宋体" w:eastAsia="宋体"/>
                <w:szCs w:val="21"/>
              </w:rPr>
            </w:pPr>
            <w:r>
              <w:rPr>
                <w:rFonts w:hint="eastAsia" w:ascii="宋体" w:hAnsi="宋体" w:eastAsia="宋体"/>
                <w:szCs w:val="21"/>
              </w:rPr>
              <w:t>层次</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学校</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年级</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专业</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专业最低分</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学历</w:t>
            </w:r>
          </w:p>
          <w:p>
            <w:pPr>
              <w:jc w:val="center"/>
              <w:rPr>
                <w:rFonts w:ascii="宋体" w:hAnsi="宋体" w:eastAsia="宋体"/>
                <w:szCs w:val="21"/>
              </w:rPr>
            </w:pPr>
            <w:r>
              <w:rPr>
                <w:rFonts w:hint="eastAsia" w:ascii="宋体" w:hAnsi="宋体" w:eastAsia="宋体"/>
                <w:szCs w:val="21"/>
              </w:rPr>
              <w:t>层次</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转学</w:t>
            </w:r>
          </w:p>
          <w:p>
            <w:pPr>
              <w:jc w:val="center"/>
              <w:rPr>
                <w:rFonts w:ascii="宋体" w:hAnsi="宋体" w:eastAsia="宋体"/>
                <w:szCs w:val="21"/>
              </w:rPr>
            </w:pPr>
            <w:r>
              <w:rPr>
                <w:rFonts w:hint="eastAsia" w:ascii="宋体" w:hAnsi="宋体" w:eastAsia="宋体"/>
                <w:szCs w:val="21"/>
              </w:rPr>
              <w:t>申请</w:t>
            </w:r>
          </w:p>
          <w:p>
            <w:pPr>
              <w:jc w:val="center"/>
              <w:rPr>
                <w:rFonts w:ascii="宋体" w:hAnsi="宋体" w:eastAsia="宋体"/>
                <w:szCs w:val="21"/>
              </w:rPr>
            </w:pPr>
            <w:r>
              <w:rPr>
                <w:rFonts w:hint="eastAsia" w:ascii="宋体" w:hAnsi="宋体" w:eastAsia="宋体"/>
                <w:szCs w:val="21"/>
              </w:rPr>
              <w:t>理由</w:t>
            </w:r>
          </w:p>
        </w:tc>
        <w:tc>
          <w:tcPr>
            <w:tcW w:w="8920"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                                          申请人：</w:t>
            </w:r>
          </w:p>
          <w:p>
            <w:pPr>
              <w:jc w:val="center"/>
              <w:rPr>
                <w:rFonts w:ascii="宋体" w:hAnsi="宋体" w:eastAsia="宋体"/>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w:t>
            </w:r>
          </w:p>
          <w:p>
            <w:pPr>
              <w:jc w:val="center"/>
              <w:rPr>
                <w:rFonts w:ascii="宋体" w:hAnsi="宋体" w:eastAsia="宋体"/>
                <w:szCs w:val="21"/>
              </w:rPr>
            </w:pPr>
            <w:r>
              <w:rPr>
                <w:rFonts w:hint="eastAsia" w:ascii="宋体" w:hAnsi="宋体" w:eastAsia="宋体"/>
                <w:szCs w:val="21"/>
              </w:rPr>
              <w:t>出</w:t>
            </w:r>
          </w:p>
          <w:p>
            <w:pPr>
              <w:jc w:val="center"/>
              <w:rPr>
                <w:rFonts w:ascii="宋体" w:hAnsi="宋体" w:eastAsia="宋体"/>
                <w:szCs w:val="21"/>
              </w:rPr>
            </w:pPr>
            <w:r>
              <w:rPr>
                <w:rFonts w:hint="eastAsia" w:ascii="宋体" w:hAnsi="宋体" w:eastAsia="宋体"/>
                <w:szCs w:val="21"/>
              </w:rPr>
              <w:t>学</w:t>
            </w:r>
          </w:p>
          <w:p>
            <w:pPr>
              <w:jc w:val="center"/>
              <w:rPr>
                <w:rFonts w:ascii="宋体" w:hAnsi="宋体" w:eastAsia="宋体"/>
                <w:szCs w:val="21"/>
              </w:rPr>
            </w:pPr>
            <w:r>
              <w:rPr>
                <w:rFonts w:hint="eastAsia" w:ascii="宋体" w:hAnsi="宋体" w:eastAsia="宋体"/>
                <w:szCs w:val="21"/>
              </w:rPr>
              <w:t>校</w:t>
            </w:r>
          </w:p>
          <w:p>
            <w:pPr>
              <w:jc w:val="center"/>
              <w:rPr>
                <w:rFonts w:ascii="宋体" w:hAnsi="宋体" w:eastAsia="宋体"/>
                <w:szCs w:val="21"/>
              </w:rPr>
            </w:pPr>
            <w:r>
              <w:rPr>
                <w:rFonts w:hint="eastAsia" w:ascii="宋体" w:hAnsi="宋体" w:eastAsia="宋体"/>
                <w:szCs w:val="21"/>
              </w:rPr>
              <w:t>意</w:t>
            </w:r>
          </w:p>
          <w:p>
            <w:pPr>
              <w:jc w:val="center"/>
              <w:rPr>
                <w:rFonts w:ascii="宋体" w:hAnsi="宋体" w:eastAsia="宋体"/>
                <w:szCs w:val="21"/>
              </w:rPr>
            </w:pPr>
            <w:r>
              <w:rPr>
                <w:rFonts w:hint="eastAsia" w:ascii="宋体" w:hAnsi="宋体" w:eastAsia="宋体"/>
                <w:szCs w:val="21"/>
              </w:rPr>
              <w:t>见</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校（院）长：</w:t>
            </w:r>
          </w:p>
          <w:p>
            <w:pPr>
              <w:ind w:firstLine="525" w:firstLineChars="250"/>
              <w:jc w:val="left"/>
              <w:rPr>
                <w:rFonts w:ascii="宋体" w:hAnsi="宋体" w:eastAsia="宋体"/>
                <w:szCs w:val="21"/>
              </w:rPr>
            </w:pPr>
            <w:r>
              <w:rPr>
                <w:rFonts w:hint="eastAsia" w:ascii="宋体" w:hAnsi="宋体" w:eastAsia="宋体"/>
                <w:szCs w:val="21"/>
              </w:rPr>
              <w:t>年    月    日</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w:t>
            </w:r>
          </w:p>
          <w:p>
            <w:pPr>
              <w:jc w:val="center"/>
              <w:rPr>
                <w:rFonts w:ascii="宋体" w:hAnsi="宋体" w:eastAsia="宋体"/>
                <w:szCs w:val="21"/>
              </w:rPr>
            </w:pPr>
            <w:r>
              <w:rPr>
                <w:rFonts w:hint="eastAsia" w:ascii="宋体" w:hAnsi="宋体" w:eastAsia="宋体"/>
                <w:szCs w:val="21"/>
              </w:rPr>
              <w:t>入</w:t>
            </w:r>
          </w:p>
          <w:p>
            <w:pPr>
              <w:jc w:val="center"/>
              <w:rPr>
                <w:rFonts w:ascii="宋体" w:hAnsi="宋体" w:eastAsia="宋体"/>
                <w:szCs w:val="21"/>
              </w:rPr>
            </w:pPr>
            <w:r>
              <w:rPr>
                <w:rFonts w:hint="eastAsia" w:ascii="宋体" w:hAnsi="宋体" w:eastAsia="宋体"/>
                <w:szCs w:val="21"/>
              </w:rPr>
              <w:t>学</w:t>
            </w:r>
          </w:p>
          <w:p>
            <w:pPr>
              <w:jc w:val="center"/>
              <w:rPr>
                <w:rFonts w:ascii="宋体" w:hAnsi="宋体" w:eastAsia="宋体"/>
                <w:szCs w:val="21"/>
              </w:rPr>
            </w:pPr>
            <w:r>
              <w:rPr>
                <w:rFonts w:hint="eastAsia" w:ascii="宋体" w:hAnsi="宋体" w:eastAsia="宋体"/>
                <w:szCs w:val="21"/>
              </w:rPr>
              <w:t>校</w:t>
            </w:r>
          </w:p>
          <w:p>
            <w:pPr>
              <w:jc w:val="center"/>
              <w:rPr>
                <w:rFonts w:ascii="宋体" w:hAnsi="宋体" w:eastAsia="宋体"/>
                <w:szCs w:val="21"/>
              </w:rPr>
            </w:pPr>
            <w:r>
              <w:rPr>
                <w:rFonts w:hint="eastAsia" w:ascii="宋体" w:hAnsi="宋体" w:eastAsia="宋体"/>
                <w:szCs w:val="21"/>
              </w:rPr>
              <w:t>意</w:t>
            </w:r>
          </w:p>
          <w:p>
            <w:pPr>
              <w:jc w:val="center"/>
              <w:rPr>
                <w:rFonts w:ascii="宋体" w:hAnsi="宋体" w:eastAsia="宋体"/>
                <w:szCs w:val="21"/>
              </w:rPr>
            </w:pPr>
            <w:r>
              <w:rPr>
                <w:rFonts w:hint="eastAsia" w:ascii="宋体" w:hAnsi="宋体" w:eastAsia="宋体"/>
                <w:szCs w:val="21"/>
              </w:rPr>
              <w:t>见</w:t>
            </w:r>
          </w:p>
        </w:tc>
        <w:tc>
          <w:tcPr>
            <w:tcW w:w="423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校（院）长：</w:t>
            </w:r>
          </w:p>
          <w:p>
            <w:pPr>
              <w:ind w:firstLine="1047" w:firstLineChars="499"/>
              <w:jc w:val="left"/>
              <w:rPr>
                <w:rFonts w:ascii="宋体" w:hAnsi="宋体" w:eastAsia="宋体"/>
                <w:szCs w:val="21"/>
              </w:rPr>
            </w:pPr>
            <w:r>
              <w:rPr>
                <w:rFonts w:hint="eastAsia" w:ascii="宋体" w:hAnsi="宋体" w:eastAsia="宋体"/>
                <w:szCs w:val="21"/>
              </w:rPr>
              <w:t>年    月    日</w:t>
            </w:r>
          </w:p>
        </w:tc>
      </w:tr>
    </w:tbl>
    <w:p>
      <w:pPr>
        <w:ind w:right="-178" w:rightChars="-85"/>
        <w:rPr>
          <w:rFonts w:ascii="仿宋_GB2312" w:eastAsia="仿宋_GB2312"/>
          <w:szCs w:val="21"/>
        </w:rPr>
      </w:pPr>
      <w:r>
        <w:rPr>
          <w:rFonts w:hint="eastAsia" w:ascii="仿宋_GB2312" w:eastAsia="仿宋_GB2312"/>
          <w:szCs w:val="21"/>
        </w:rPr>
        <w:t>注：本表所填内容不得涂改，一经涂改视作无效。</w:t>
      </w:r>
    </w:p>
    <w:p>
      <w:pPr>
        <w:spacing w:line="560" w:lineRule="exact"/>
        <w:contextualSpacing/>
        <w:rPr>
          <w:rFonts w:ascii="黑体" w:hAnsi="黑体" w:eastAsia="黑体"/>
          <w:sz w:val="30"/>
          <w:szCs w:val="30"/>
        </w:rPr>
      </w:pPr>
    </w:p>
    <w:p>
      <w:pPr>
        <w:spacing w:line="560" w:lineRule="exact"/>
        <w:contextualSpacing/>
        <w:rPr>
          <w:rFonts w:ascii="黑体" w:hAnsi="黑体" w:eastAsia="黑体"/>
          <w:sz w:val="30"/>
          <w:szCs w:val="30"/>
        </w:rPr>
      </w:pPr>
    </w:p>
    <w:p>
      <w:pPr>
        <w:spacing w:line="560" w:lineRule="exact"/>
        <w:contextualSpacing/>
        <w:rPr>
          <w:rFonts w:ascii="黑体" w:hAnsi="黑体" w:eastAsia="黑体"/>
          <w:sz w:val="30"/>
          <w:szCs w:val="30"/>
        </w:rPr>
      </w:pPr>
      <w:r>
        <w:rPr>
          <w:rFonts w:hint="eastAsia" w:ascii="黑体" w:hAnsi="黑体" w:eastAsia="黑体"/>
          <w:sz w:val="30"/>
          <w:szCs w:val="30"/>
        </w:rPr>
        <w:t>附件2</w:t>
      </w:r>
    </w:p>
    <w:p>
      <w:pPr>
        <w:spacing w:line="560" w:lineRule="exact"/>
        <w:contextualSpacing/>
        <w:jc w:val="center"/>
        <w:rPr>
          <w:rFonts w:ascii="黑体" w:hAnsi="黑体" w:eastAsia="黑体"/>
          <w:sz w:val="32"/>
          <w:szCs w:val="32"/>
        </w:rPr>
      </w:pPr>
      <w:r>
        <w:rPr>
          <w:rFonts w:hint="eastAsia" w:ascii="黑体" w:hAnsi="黑体" w:eastAsia="黑体"/>
          <w:sz w:val="32"/>
          <w:szCs w:val="32"/>
        </w:rPr>
        <w:t>四川省普通高等学校学生转学备案表</w:t>
      </w:r>
    </w:p>
    <w:p>
      <w:pPr>
        <w:spacing w:line="560" w:lineRule="exact"/>
        <w:contextualSpacing/>
        <w:jc w:val="center"/>
        <w:rPr>
          <w:rFonts w:ascii="Times New Roman" w:eastAsia="仿宋_GB2312"/>
          <w:sz w:val="24"/>
          <w:szCs w:val="24"/>
        </w:rPr>
      </w:pPr>
      <w:r>
        <w:rPr>
          <w:rFonts w:hint="eastAsia" w:ascii="楷体_GB2312" w:eastAsia="楷体_GB2312"/>
          <w:szCs w:val="32"/>
        </w:rPr>
        <w:t>（跨省专用）</w:t>
      </w:r>
      <w:r>
        <w:rPr>
          <w:rFonts w:ascii="楷体_GB2312" w:eastAsia="楷体_GB2312"/>
          <w:szCs w:val="32"/>
        </w:rPr>
        <w:t xml:space="preserve">  </w:t>
      </w:r>
      <w:r>
        <w:rPr>
          <w:sz w:val="24"/>
          <w:szCs w:val="24"/>
        </w:rPr>
        <w:t xml:space="preserve">                                </w:t>
      </w:r>
    </w:p>
    <w:p>
      <w:pPr>
        <w:spacing w:line="560" w:lineRule="exact"/>
        <w:ind w:left="-178" w:leftChars="-85" w:firstLine="205" w:firstLineChars="85"/>
        <w:contextualSpacing/>
        <w:jc w:val="right"/>
        <w:rPr>
          <w:sz w:val="24"/>
          <w:szCs w:val="24"/>
        </w:rPr>
      </w:pPr>
      <w:r>
        <w:rPr>
          <w:rFonts w:hint="eastAsia"/>
          <w:b/>
          <w:sz w:val="24"/>
          <w:szCs w:val="24"/>
        </w:rPr>
        <w:t>川教学籍字</w:t>
      </w: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b/>
          <w:sz w:val="24"/>
          <w:szCs w:val="24"/>
        </w:rPr>
        <w:t>号</w:t>
      </w:r>
    </w:p>
    <w:tbl>
      <w:tblPr>
        <w:tblStyle w:val="15"/>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597"/>
        <w:gridCol w:w="540"/>
        <w:gridCol w:w="720"/>
        <w:gridCol w:w="540"/>
        <w:gridCol w:w="720"/>
        <w:gridCol w:w="720"/>
        <w:gridCol w:w="1142"/>
        <w:gridCol w:w="780"/>
        <w:gridCol w:w="692"/>
        <w:gridCol w:w="65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姓名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性别</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民族</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入学</w:t>
            </w:r>
          </w:p>
          <w:p>
            <w:pPr>
              <w:jc w:val="center"/>
              <w:rPr>
                <w:rFonts w:ascii="宋体" w:hAnsi="宋体" w:eastAsia="宋体"/>
                <w:szCs w:val="21"/>
              </w:rPr>
            </w:pPr>
            <w:r>
              <w:rPr>
                <w:rFonts w:hint="eastAsia" w:ascii="宋体" w:hAnsi="宋体" w:eastAsia="宋体"/>
                <w:szCs w:val="21"/>
              </w:rPr>
              <w:t>时间</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考生号</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联系</w:t>
            </w:r>
          </w:p>
          <w:p>
            <w:pPr>
              <w:jc w:val="center"/>
              <w:rPr>
                <w:rFonts w:ascii="宋体" w:hAnsi="宋体" w:eastAsia="宋体"/>
                <w:szCs w:val="21"/>
              </w:rPr>
            </w:pPr>
            <w:r>
              <w:rPr>
                <w:rFonts w:hint="eastAsia" w:ascii="宋体" w:hAnsi="宋体" w:eastAsia="宋体"/>
                <w:szCs w:val="21"/>
              </w:rPr>
              <w:t>电话</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身份证号</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学校</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年级</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专业</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分数</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学历</w:t>
            </w:r>
          </w:p>
          <w:p>
            <w:pPr>
              <w:jc w:val="center"/>
              <w:rPr>
                <w:rFonts w:ascii="宋体" w:hAnsi="宋体" w:eastAsia="宋体"/>
                <w:szCs w:val="21"/>
              </w:rPr>
            </w:pPr>
            <w:r>
              <w:rPr>
                <w:rFonts w:hint="eastAsia" w:ascii="宋体" w:hAnsi="宋体" w:eastAsia="宋体"/>
                <w:szCs w:val="21"/>
              </w:rPr>
              <w:t>层次</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学校</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年级</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专业</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专业最低分</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学历</w:t>
            </w:r>
          </w:p>
          <w:p>
            <w:pPr>
              <w:jc w:val="center"/>
              <w:rPr>
                <w:rFonts w:ascii="宋体" w:hAnsi="宋体" w:eastAsia="宋体"/>
                <w:szCs w:val="21"/>
              </w:rPr>
            </w:pPr>
            <w:r>
              <w:rPr>
                <w:rFonts w:hint="eastAsia" w:ascii="宋体" w:hAnsi="宋体" w:eastAsia="宋体"/>
                <w:szCs w:val="21"/>
              </w:rPr>
              <w:t>层次</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转学</w:t>
            </w:r>
          </w:p>
          <w:p>
            <w:pPr>
              <w:jc w:val="center"/>
              <w:rPr>
                <w:rFonts w:ascii="宋体" w:hAnsi="宋体" w:eastAsia="宋体"/>
                <w:szCs w:val="21"/>
              </w:rPr>
            </w:pPr>
            <w:r>
              <w:rPr>
                <w:rFonts w:hint="eastAsia" w:ascii="宋体" w:hAnsi="宋体" w:eastAsia="宋体"/>
                <w:szCs w:val="21"/>
              </w:rPr>
              <w:t>申请</w:t>
            </w:r>
          </w:p>
          <w:p>
            <w:pPr>
              <w:jc w:val="center"/>
              <w:rPr>
                <w:rFonts w:ascii="宋体" w:hAnsi="宋体" w:eastAsia="宋体"/>
                <w:szCs w:val="21"/>
              </w:rPr>
            </w:pPr>
            <w:r>
              <w:rPr>
                <w:rFonts w:hint="eastAsia" w:ascii="宋体" w:hAnsi="宋体" w:eastAsia="宋体"/>
                <w:szCs w:val="21"/>
              </w:rPr>
              <w:t>理由</w:t>
            </w:r>
          </w:p>
        </w:tc>
        <w:tc>
          <w:tcPr>
            <w:tcW w:w="8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                                          申请人：</w:t>
            </w:r>
          </w:p>
          <w:p>
            <w:pPr>
              <w:jc w:val="center"/>
              <w:rPr>
                <w:rFonts w:ascii="宋体" w:hAnsi="宋体" w:eastAsia="宋体"/>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w:t>
            </w:r>
          </w:p>
          <w:p>
            <w:pPr>
              <w:jc w:val="center"/>
              <w:rPr>
                <w:rFonts w:ascii="宋体" w:hAnsi="宋体" w:eastAsia="宋体"/>
                <w:szCs w:val="21"/>
              </w:rPr>
            </w:pPr>
            <w:r>
              <w:rPr>
                <w:rFonts w:hint="eastAsia" w:ascii="宋体" w:hAnsi="宋体" w:eastAsia="宋体"/>
                <w:szCs w:val="21"/>
              </w:rPr>
              <w:t>出</w:t>
            </w:r>
          </w:p>
          <w:p>
            <w:pPr>
              <w:jc w:val="center"/>
              <w:rPr>
                <w:rFonts w:ascii="宋体" w:hAnsi="宋体" w:eastAsia="宋体"/>
                <w:szCs w:val="21"/>
              </w:rPr>
            </w:pPr>
            <w:r>
              <w:rPr>
                <w:rFonts w:hint="eastAsia" w:ascii="宋体" w:hAnsi="宋体" w:eastAsia="宋体"/>
                <w:szCs w:val="21"/>
              </w:rPr>
              <w:t>学</w:t>
            </w:r>
          </w:p>
          <w:p>
            <w:pPr>
              <w:jc w:val="center"/>
              <w:rPr>
                <w:rFonts w:ascii="宋体" w:hAnsi="宋体" w:eastAsia="宋体"/>
                <w:szCs w:val="21"/>
              </w:rPr>
            </w:pPr>
            <w:r>
              <w:rPr>
                <w:rFonts w:hint="eastAsia" w:ascii="宋体" w:hAnsi="宋体" w:eastAsia="宋体"/>
                <w:szCs w:val="21"/>
              </w:rPr>
              <w:t>校</w:t>
            </w:r>
          </w:p>
          <w:p>
            <w:pPr>
              <w:jc w:val="center"/>
              <w:rPr>
                <w:rFonts w:ascii="宋体" w:hAnsi="宋体" w:eastAsia="宋体"/>
                <w:szCs w:val="21"/>
              </w:rPr>
            </w:pPr>
            <w:r>
              <w:rPr>
                <w:rFonts w:hint="eastAsia" w:ascii="宋体" w:hAnsi="宋体" w:eastAsia="宋体"/>
                <w:szCs w:val="21"/>
              </w:rPr>
              <w:t>意</w:t>
            </w:r>
          </w:p>
          <w:p>
            <w:pPr>
              <w:jc w:val="center"/>
              <w:rPr>
                <w:rFonts w:ascii="宋体" w:hAnsi="宋体" w:eastAsia="宋体"/>
                <w:szCs w:val="21"/>
              </w:rPr>
            </w:pPr>
            <w:r>
              <w:rPr>
                <w:rFonts w:hint="eastAsia" w:ascii="宋体" w:hAnsi="宋体" w:eastAsia="宋体"/>
                <w:szCs w:val="21"/>
              </w:rPr>
              <w:t>见</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校（院）长：</w:t>
            </w:r>
          </w:p>
          <w:p>
            <w:pPr>
              <w:ind w:firstLine="525" w:firstLineChars="250"/>
              <w:jc w:val="left"/>
              <w:rPr>
                <w:rFonts w:ascii="宋体" w:hAnsi="宋体" w:eastAsia="宋体"/>
                <w:szCs w:val="21"/>
              </w:rPr>
            </w:pPr>
            <w:r>
              <w:rPr>
                <w:rFonts w:hint="eastAsia" w:ascii="宋体" w:hAnsi="宋体" w:eastAsia="宋体"/>
                <w:szCs w:val="21"/>
              </w:rPr>
              <w:t>年    月    日</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w:t>
            </w:r>
          </w:p>
          <w:p>
            <w:pPr>
              <w:jc w:val="center"/>
              <w:rPr>
                <w:rFonts w:ascii="宋体" w:hAnsi="宋体" w:eastAsia="宋体"/>
                <w:szCs w:val="21"/>
              </w:rPr>
            </w:pPr>
            <w:r>
              <w:rPr>
                <w:rFonts w:hint="eastAsia" w:ascii="宋体" w:hAnsi="宋体" w:eastAsia="宋体"/>
                <w:szCs w:val="21"/>
              </w:rPr>
              <w:t>入</w:t>
            </w:r>
          </w:p>
          <w:p>
            <w:pPr>
              <w:jc w:val="center"/>
              <w:rPr>
                <w:rFonts w:ascii="宋体" w:hAnsi="宋体" w:eastAsia="宋体"/>
                <w:szCs w:val="21"/>
              </w:rPr>
            </w:pPr>
            <w:r>
              <w:rPr>
                <w:rFonts w:hint="eastAsia" w:ascii="宋体" w:hAnsi="宋体" w:eastAsia="宋体"/>
                <w:szCs w:val="21"/>
              </w:rPr>
              <w:t>学</w:t>
            </w:r>
          </w:p>
          <w:p>
            <w:pPr>
              <w:jc w:val="center"/>
              <w:rPr>
                <w:rFonts w:ascii="宋体" w:hAnsi="宋体" w:eastAsia="宋体"/>
                <w:szCs w:val="21"/>
              </w:rPr>
            </w:pPr>
            <w:r>
              <w:rPr>
                <w:rFonts w:hint="eastAsia" w:ascii="宋体" w:hAnsi="宋体" w:eastAsia="宋体"/>
                <w:szCs w:val="21"/>
              </w:rPr>
              <w:t>校</w:t>
            </w:r>
          </w:p>
          <w:p>
            <w:pPr>
              <w:jc w:val="center"/>
              <w:rPr>
                <w:rFonts w:ascii="宋体" w:hAnsi="宋体" w:eastAsia="宋体"/>
                <w:szCs w:val="21"/>
              </w:rPr>
            </w:pPr>
            <w:r>
              <w:rPr>
                <w:rFonts w:hint="eastAsia" w:ascii="宋体" w:hAnsi="宋体" w:eastAsia="宋体"/>
                <w:szCs w:val="21"/>
              </w:rPr>
              <w:t>意</w:t>
            </w:r>
          </w:p>
          <w:p>
            <w:pPr>
              <w:jc w:val="center"/>
              <w:rPr>
                <w:rFonts w:ascii="宋体" w:hAnsi="宋体" w:eastAsia="宋体"/>
                <w:szCs w:val="21"/>
              </w:rPr>
            </w:pPr>
            <w:r>
              <w:rPr>
                <w:rFonts w:hint="eastAsia" w:ascii="宋体" w:hAnsi="宋体" w:eastAsia="宋体"/>
                <w:szCs w:val="21"/>
              </w:rPr>
              <w:t>见</w:t>
            </w:r>
          </w:p>
        </w:tc>
        <w:tc>
          <w:tcPr>
            <w:tcW w:w="4221"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校（院）长：</w:t>
            </w:r>
          </w:p>
          <w:p>
            <w:pPr>
              <w:ind w:firstLine="945" w:firstLineChars="450"/>
              <w:jc w:val="left"/>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转出</w:t>
            </w:r>
          </w:p>
          <w:p>
            <w:pPr>
              <w:jc w:val="center"/>
              <w:rPr>
                <w:rFonts w:ascii="宋体" w:hAnsi="宋体" w:eastAsia="宋体"/>
                <w:szCs w:val="21"/>
              </w:rPr>
            </w:pPr>
            <w:r>
              <w:rPr>
                <w:rFonts w:hint="eastAsia" w:ascii="宋体" w:hAnsi="宋体" w:eastAsia="宋体"/>
                <w:szCs w:val="21"/>
              </w:rPr>
              <w:t>省级</w:t>
            </w:r>
          </w:p>
          <w:p>
            <w:pPr>
              <w:jc w:val="center"/>
              <w:rPr>
                <w:rFonts w:ascii="宋体" w:hAnsi="宋体" w:eastAsia="宋体"/>
                <w:szCs w:val="21"/>
              </w:rPr>
            </w:pPr>
            <w:r>
              <w:rPr>
                <w:rFonts w:hint="eastAsia" w:ascii="宋体" w:hAnsi="宋体" w:eastAsia="宋体"/>
                <w:szCs w:val="21"/>
              </w:rPr>
              <w:t>教育</w:t>
            </w:r>
          </w:p>
          <w:p>
            <w:pPr>
              <w:jc w:val="center"/>
              <w:rPr>
                <w:rFonts w:ascii="宋体" w:hAnsi="宋体" w:eastAsia="宋体"/>
                <w:szCs w:val="21"/>
              </w:rPr>
            </w:pPr>
            <w:r>
              <w:rPr>
                <w:rFonts w:hint="eastAsia" w:ascii="宋体" w:hAnsi="宋体" w:eastAsia="宋体"/>
                <w:szCs w:val="21"/>
              </w:rPr>
              <w:t>行政</w:t>
            </w:r>
          </w:p>
          <w:p>
            <w:pPr>
              <w:jc w:val="center"/>
              <w:rPr>
                <w:rFonts w:ascii="宋体" w:hAnsi="宋体" w:eastAsia="宋体"/>
                <w:szCs w:val="21"/>
              </w:rPr>
            </w:pPr>
            <w:r>
              <w:rPr>
                <w:rFonts w:hint="eastAsia" w:ascii="宋体" w:hAnsi="宋体" w:eastAsia="宋体"/>
                <w:szCs w:val="21"/>
              </w:rPr>
              <w:t>部门</w:t>
            </w:r>
          </w:p>
          <w:p>
            <w:pPr>
              <w:jc w:val="center"/>
              <w:rPr>
                <w:rFonts w:ascii="宋体" w:hAnsi="宋体" w:eastAsia="宋体"/>
                <w:szCs w:val="21"/>
              </w:rPr>
            </w:pPr>
            <w:r>
              <w:rPr>
                <w:rFonts w:hint="eastAsia" w:ascii="宋体" w:hAnsi="宋体" w:eastAsia="宋体"/>
                <w:szCs w:val="21"/>
              </w:rPr>
              <w:t>意见</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分管厅长：         ( 公章）</w:t>
            </w:r>
          </w:p>
          <w:p>
            <w:pPr>
              <w:ind w:firstLine="735" w:firstLineChars="350"/>
              <w:jc w:val="left"/>
              <w:rPr>
                <w:rFonts w:ascii="宋体" w:hAnsi="宋体" w:eastAsia="宋体"/>
                <w:szCs w:val="21"/>
              </w:rPr>
            </w:pPr>
            <w:r>
              <w:rPr>
                <w:rFonts w:hint="eastAsia" w:ascii="宋体" w:hAnsi="宋体" w:eastAsia="宋体"/>
                <w:szCs w:val="21"/>
              </w:rPr>
              <w:t>年    月    日</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转入</w:t>
            </w:r>
          </w:p>
          <w:p>
            <w:pPr>
              <w:jc w:val="center"/>
              <w:rPr>
                <w:rFonts w:ascii="宋体" w:hAnsi="宋体" w:eastAsia="宋体"/>
                <w:szCs w:val="21"/>
              </w:rPr>
            </w:pPr>
            <w:r>
              <w:rPr>
                <w:rFonts w:hint="eastAsia" w:ascii="宋体" w:hAnsi="宋体" w:eastAsia="宋体"/>
                <w:szCs w:val="21"/>
              </w:rPr>
              <w:t>省级</w:t>
            </w:r>
          </w:p>
          <w:p>
            <w:pPr>
              <w:jc w:val="center"/>
              <w:rPr>
                <w:rFonts w:ascii="宋体" w:hAnsi="宋体" w:eastAsia="宋体"/>
                <w:szCs w:val="21"/>
              </w:rPr>
            </w:pPr>
            <w:r>
              <w:rPr>
                <w:rFonts w:hint="eastAsia" w:ascii="宋体" w:hAnsi="宋体" w:eastAsia="宋体"/>
                <w:szCs w:val="21"/>
              </w:rPr>
              <w:t>教育</w:t>
            </w:r>
          </w:p>
          <w:p>
            <w:pPr>
              <w:jc w:val="center"/>
              <w:rPr>
                <w:rFonts w:ascii="宋体" w:hAnsi="宋体" w:eastAsia="宋体"/>
                <w:szCs w:val="21"/>
              </w:rPr>
            </w:pPr>
            <w:r>
              <w:rPr>
                <w:rFonts w:hint="eastAsia" w:ascii="宋体" w:hAnsi="宋体" w:eastAsia="宋体"/>
                <w:szCs w:val="21"/>
              </w:rPr>
              <w:t>行政</w:t>
            </w:r>
          </w:p>
          <w:p>
            <w:pPr>
              <w:jc w:val="center"/>
              <w:rPr>
                <w:rFonts w:ascii="宋体" w:hAnsi="宋体" w:eastAsia="宋体"/>
                <w:szCs w:val="21"/>
              </w:rPr>
            </w:pPr>
            <w:r>
              <w:rPr>
                <w:rFonts w:hint="eastAsia" w:ascii="宋体" w:hAnsi="宋体" w:eastAsia="宋体"/>
                <w:szCs w:val="21"/>
              </w:rPr>
              <w:t>部门</w:t>
            </w:r>
          </w:p>
          <w:p>
            <w:pPr>
              <w:jc w:val="center"/>
              <w:rPr>
                <w:rFonts w:ascii="宋体" w:hAnsi="宋体" w:eastAsia="宋体"/>
                <w:szCs w:val="21"/>
              </w:rPr>
            </w:pPr>
            <w:r>
              <w:rPr>
                <w:rFonts w:hint="eastAsia" w:ascii="宋体" w:hAnsi="宋体" w:eastAsia="宋体"/>
                <w:szCs w:val="21"/>
              </w:rPr>
              <w:t>意见</w:t>
            </w:r>
          </w:p>
        </w:tc>
        <w:tc>
          <w:tcPr>
            <w:tcW w:w="4221"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hint="eastAsia" w:ascii="宋体" w:hAnsi="宋体" w:eastAsia="宋体"/>
                <w:szCs w:val="21"/>
              </w:rPr>
              <w:t>经办人：</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处 长：</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分管厅长：               ( 公章）</w:t>
            </w:r>
          </w:p>
          <w:p>
            <w:pPr>
              <w:ind w:firstLine="940" w:firstLineChars="448"/>
              <w:jc w:val="left"/>
              <w:rPr>
                <w:rFonts w:ascii="宋体" w:hAnsi="宋体" w:eastAsia="宋体"/>
                <w:szCs w:val="21"/>
              </w:rPr>
            </w:pPr>
            <w:r>
              <w:rPr>
                <w:rFonts w:hint="eastAsia" w:ascii="宋体" w:hAnsi="宋体" w:eastAsia="宋体"/>
                <w:szCs w:val="21"/>
              </w:rPr>
              <w:t>年    月    日</w:t>
            </w:r>
          </w:p>
        </w:tc>
      </w:tr>
    </w:tbl>
    <w:p>
      <w:pPr>
        <w:ind w:right="-178" w:rightChars="-85"/>
        <w:rPr>
          <w:rFonts w:ascii="仿宋_GB2312" w:eastAsia="仿宋_GB2312"/>
          <w:szCs w:val="21"/>
        </w:rPr>
      </w:pPr>
      <w:r>
        <w:rPr>
          <w:rFonts w:hint="eastAsia" w:ascii="仿宋_GB2312" w:eastAsia="仿宋_GB2312"/>
          <w:szCs w:val="21"/>
        </w:rPr>
        <w:t>注：本表所填内容不得涂改，一经涂改视作无效。</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before="156" w:beforeLines="50" w:after="156" w:afterLines="50" w:line="560" w:lineRule="exact"/>
        <w:jc w:val="center"/>
        <w:rPr>
          <w:rFonts w:asciiTheme="minorEastAsia" w:hAnsiTheme="minorEastAsia"/>
          <w:b/>
          <w:sz w:val="32"/>
          <w:szCs w:val="32"/>
        </w:rPr>
      </w:pPr>
      <w:r>
        <w:rPr>
          <w:rFonts w:hint="eastAsia" w:asciiTheme="minorEastAsia" w:hAnsiTheme="minorEastAsia"/>
          <w:b/>
          <w:sz w:val="32"/>
          <w:szCs w:val="32"/>
        </w:rPr>
        <w:t>内江师范学院学生转专业管理办法（修订）</w:t>
      </w:r>
    </w:p>
    <w:p>
      <w:pPr>
        <w:widowControl/>
        <w:spacing w:line="560" w:lineRule="exact"/>
        <w:jc w:val="center"/>
        <w:rPr>
          <w:rFonts w:asciiTheme="minorEastAsia" w:hAnsiTheme="minorEastAsia"/>
          <w:b/>
          <w:sz w:val="28"/>
          <w:szCs w:val="28"/>
        </w:rPr>
      </w:pPr>
      <w:r>
        <w:rPr>
          <w:rFonts w:hint="eastAsia" w:asciiTheme="minorEastAsia" w:hAnsiTheme="minorEastAsia"/>
          <w:b/>
          <w:sz w:val="28"/>
          <w:szCs w:val="28"/>
        </w:rPr>
        <w:t>内师教字〔</w:t>
      </w:r>
      <w:r>
        <w:rPr>
          <w:rFonts w:asciiTheme="minorEastAsia" w:hAnsiTheme="minorEastAsia"/>
          <w:b/>
          <w:sz w:val="28"/>
          <w:szCs w:val="28"/>
        </w:rPr>
        <w:t>2017〕82号</w:t>
      </w:r>
    </w:p>
    <w:p>
      <w:pPr>
        <w:widowControl/>
        <w:spacing w:line="560" w:lineRule="exact"/>
        <w:jc w:val="center"/>
        <w:rPr>
          <w:rFonts w:asciiTheme="minorEastAsia" w:hAnsiTheme="minorEastAsia"/>
          <w:b/>
          <w:sz w:val="28"/>
          <w:szCs w:val="28"/>
        </w:rPr>
      </w:pP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为进一步规范我校本、专科学生转专业的管理，体现“以人为本”、“以学生为主体”的教育理念，保障学生的合法权益，促进学生个性化发展，根据教育部《普通高等学校学生管理规定》（教育部令第41号）、《内江师范学院学生学籍管理规定》（内师院发〔</w:t>
      </w:r>
      <w:r>
        <w:rPr>
          <w:rFonts w:asciiTheme="minorEastAsia" w:hAnsiTheme="minorEastAsia"/>
          <w:sz w:val="24"/>
          <w:szCs w:val="24"/>
        </w:rPr>
        <w:t>201</w:t>
      </w:r>
      <w:r>
        <w:rPr>
          <w:rFonts w:hint="eastAsia" w:asciiTheme="minorEastAsia" w:hAnsiTheme="minorEastAsia"/>
          <w:sz w:val="24"/>
          <w:szCs w:val="24"/>
        </w:rPr>
        <w:t>7〕93号）的有关规定，特制定本办法。</w:t>
      </w:r>
    </w:p>
    <w:p>
      <w:pPr>
        <w:pStyle w:val="19"/>
        <w:spacing w:line="360" w:lineRule="auto"/>
        <w:ind w:firstLine="414" w:firstLineChars="172"/>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一、基本原则</w:t>
      </w:r>
    </w:p>
    <w:p>
      <w:pPr>
        <w:spacing w:line="360" w:lineRule="auto"/>
        <w:ind w:firstLine="460" w:firstLineChars="192"/>
        <w:rPr>
          <w:rFonts w:asciiTheme="minorEastAsia" w:hAnsiTheme="minorEastAsia"/>
          <w:sz w:val="24"/>
          <w:szCs w:val="24"/>
        </w:rPr>
      </w:pPr>
      <w:r>
        <w:rPr>
          <w:rFonts w:hint="eastAsia" w:asciiTheme="minorEastAsia" w:hAnsiTheme="minorEastAsia"/>
          <w:sz w:val="24"/>
          <w:szCs w:val="24"/>
        </w:rPr>
        <w:t>1. 公正性原则。学生转专业应体现公平、公开、公正，严格遵守规定的程序和考核纪律，自觉接受监督。</w:t>
      </w:r>
    </w:p>
    <w:p>
      <w:pPr>
        <w:spacing w:line="360" w:lineRule="auto"/>
        <w:ind w:firstLine="427" w:firstLineChars="178"/>
        <w:rPr>
          <w:rFonts w:asciiTheme="minorEastAsia" w:hAnsiTheme="minorEastAsia"/>
          <w:sz w:val="24"/>
          <w:szCs w:val="24"/>
        </w:rPr>
      </w:pPr>
      <w:r>
        <w:rPr>
          <w:rFonts w:hint="eastAsia" w:asciiTheme="minorEastAsia" w:hAnsiTheme="minorEastAsia"/>
          <w:sz w:val="24"/>
          <w:szCs w:val="24"/>
        </w:rPr>
        <w:t>2. 注重学生个性发展原则。学生转专业应尊重学生的志向和爱好，发挥学生专长，促进学生个性发展。</w:t>
      </w:r>
    </w:p>
    <w:p>
      <w:pPr>
        <w:spacing w:line="360" w:lineRule="auto"/>
        <w:ind w:firstLine="427" w:firstLineChars="178"/>
        <w:rPr>
          <w:rFonts w:asciiTheme="minorEastAsia" w:hAnsiTheme="minorEastAsia"/>
          <w:sz w:val="24"/>
          <w:szCs w:val="24"/>
        </w:rPr>
      </w:pPr>
      <w:r>
        <w:rPr>
          <w:rFonts w:hint="eastAsia" w:asciiTheme="minorEastAsia" w:hAnsiTheme="minorEastAsia"/>
          <w:sz w:val="24"/>
          <w:szCs w:val="24"/>
        </w:rPr>
        <w:t>3. 现实性原则。学生转专业应结合专业的办学条件，保障正常的教育教学秩序。</w:t>
      </w:r>
    </w:p>
    <w:p>
      <w:pPr>
        <w:pStyle w:val="19"/>
        <w:spacing w:line="360" w:lineRule="auto"/>
        <w:ind w:firstLine="414" w:firstLineChars="172"/>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二、转专业条件</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凡提出申请转专业的学生，应具备下列条件之一：</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（1）确有专长、有相关成果，转专业更能发挥其专长的；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（2）因意外事故或患某种疾病、生理缺陷，经学校指定的二级甲等及以上医院检查证明，不能在原专业学习，但适合在本校其它专业学习的；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（3）保留入学资格、休学、保留学籍学生复学时无原专业，可转入其它相近专业的；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（4）学校根据社会对人才需求情况的发展变化，需要适当调整专业的，可允许在读学生转到其他相关专业；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休学创业或退役后复学的学生，因自身情况需转专业的；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（6）学生确有某种特殊困难，不转专业则无法继续学习的。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凡属下列情况之一者，不予转专业：</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（1）跨高考招生类别申请的；</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（2）在不同招生批次之间跨层次申请的；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（3）新生入学后未满一学期的；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（4）在校期间已有一次转专业的；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（5）本科三年级及以上或专科二年级及以上的；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（6）身体条件不符合申请转入专业的体检标准的；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（7）定向生、委托培养生未经定向委培地区人事教育主管部门批准的；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（8）作退学处理的；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（9）保留入学资格、保留学籍、休学期间的；</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（10）其他无正当理由的。</w:t>
      </w:r>
    </w:p>
    <w:p>
      <w:pPr>
        <w:pStyle w:val="19"/>
        <w:spacing w:line="360" w:lineRule="auto"/>
        <w:ind w:firstLine="414" w:firstLineChars="172"/>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三、转专业程序</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对符合转专业条件的学生，在每学期第十六、十七周提交转专业申请，逾期不予办理。具体程序如下：</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１.学生持《内江师范学院学生转专业申请表》，经学校招生部门、原所在二级学院和拟转入二级学院审核通过后,交教务处复审汇总，复审名单报分管校领导审核批准后，在学校教务处网站对拟转专业学生名单进行公示，公示期为5个工作日，公示无异议的，报学校审批发文。学生按照转专业文件要求办理转专业手续，进入转入专业学习。</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２.学生申请转入</w:t>
      </w:r>
      <w:r>
        <w:rPr>
          <w:rFonts w:asciiTheme="minorEastAsia" w:hAnsiTheme="minorEastAsia"/>
          <w:sz w:val="24"/>
          <w:szCs w:val="24"/>
        </w:rPr>
        <w:t>师范专业</w:t>
      </w:r>
      <w:r>
        <w:rPr>
          <w:rFonts w:hint="eastAsia" w:asciiTheme="minorEastAsia" w:hAnsiTheme="minorEastAsia"/>
          <w:sz w:val="24"/>
          <w:szCs w:val="24"/>
        </w:rPr>
        <w:t>的，由学校组织进行教师基本素质测试，测试合格者，按转专业程序办理转专业手续。</w:t>
      </w:r>
    </w:p>
    <w:p>
      <w:pPr>
        <w:pStyle w:val="19"/>
        <w:spacing w:line="360" w:lineRule="auto"/>
        <w:ind w:firstLine="414" w:firstLineChars="172"/>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四、其他规定</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１.学生被批准转专业后，按当年转入专业收费标准缴纳学费。</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２.转专业学生，应修满转入专业培养方案规定的课程和学分要求方可毕业。转专业学生应办理学分认定：学生转专业前已修完的课程，如与转入专业在学分数和学习要求上相同或超过的，可替代，其余已修完的课程成绩、学分如实记载。转专业学生学分认定经转入专业所在学院初审，教务处审批后，记入学生成绩档案。对转入专业已经完成的课程，转入学生尚未修读的，应补修。</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３.学生在申请及办理转专业手续过程中，应继续在原专业学习，遵守学习纪律，不得无故缺课、缺考。</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４.对在第一学年转专业的，学院可根据专业特点，允许其转入同一年级，也可要求其转入下一年级；对在第二学年转专业的，只能转入下一年级。</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５.符合转专业条件的，二级学院应当同意学生转专业。</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６.按专业大类招生的学生，各二级学院结合专业培养方案，制定学生分选专业工作方案，在规定时间内进行专业确认，并将专业确认名单报教务处审核发文后，学生进入确认专业学习。</w:t>
      </w:r>
    </w:p>
    <w:p>
      <w:pPr>
        <w:pStyle w:val="19"/>
        <w:spacing w:line="360" w:lineRule="auto"/>
        <w:ind w:firstLine="414" w:firstLineChars="172"/>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五、附则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学生对转专业有异议的，可在公示期内向学校监察处反映。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２.本办法自2017年9月1日起执行，凡与本办法内容不相符的，按本办法执行。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３.本办法由教务处负责解释。                                 </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附件：内江师范学院学生转专业审批表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tabs>
          <w:tab w:val="left" w:pos="7371"/>
          <w:tab w:val="left" w:pos="7655"/>
        </w:tabs>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2017年7月14日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560" w:lineRule="exact"/>
        <w:jc w:val="left"/>
        <w:rPr>
          <w:rFonts w:ascii="黑体" w:hAnsi="黑体" w:eastAsia="黑体"/>
          <w:sz w:val="32"/>
          <w:szCs w:val="32"/>
        </w:rPr>
      </w:pPr>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r>
        <w:rPr>
          <w:rFonts w:hint="eastAsia" w:asciiTheme="minorEastAsia" w:hAnsiTheme="minorEastAsia"/>
          <w:b/>
          <w:sz w:val="24"/>
          <w:szCs w:val="24"/>
        </w:rPr>
        <w:t xml:space="preserve">附件          </w:t>
      </w:r>
    </w:p>
    <w:p>
      <w:pPr>
        <w:jc w:val="center"/>
        <w:rPr>
          <w:b/>
          <w:sz w:val="32"/>
          <w:szCs w:val="32"/>
        </w:rPr>
      </w:pPr>
      <w:r>
        <w:rPr>
          <w:rFonts w:hint="eastAsia"/>
          <w:b/>
          <w:sz w:val="32"/>
          <w:szCs w:val="32"/>
        </w:rPr>
        <w:t>内江师范学院学生转专业审批表</w:t>
      </w:r>
    </w:p>
    <w:tbl>
      <w:tblPr>
        <w:tblStyle w:val="1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6"/>
        <w:gridCol w:w="948"/>
        <w:gridCol w:w="340"/>
        <w:gridCol w:w="992"/>
        <w:gridCol w:w="1417"/>
        <w:gridCol w:w="1134"/>
        <w:gridCol w:w="70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896" w:type="dxa"/>
            <w:vAlign w:val="center"/>
          </w:tcPr>
          <w:p>
            <w:pPr>
              <w:jc w:val="center"/>
              <w:rPr>
                <w:sz w:val="24"/>
              </w:rPr>
            </w:pPr>
            <w:r>
              <w:rPr>
                <w:rFonts w:hint="eastAsia"/>
                <w:sz w:val="24"/>
              </w:rPr>
              <w:t>姓 名</w:t>
            </w:r>
          </w:p>
        </w:tc>
        <w:tc>
          <w:tcPr>
            <w:tcW w:w="1288" w:type="dxa"/>
            <w:gridSpan w:val="2"/>
            <w:vAlign w:val="center"/>
          </w:tcPr>
          <w:p>
            <w:pPr>
              <w:jc w:val="center"/>
              <w:rPr>
                <w:sz w:val="24"/>
              </w:rPr>
            </w:pPr>
          </w:p>
          <w:p>
            <w:pPr>
              <w:jc w:val="center"/>
              <w:rPr>
                <w:sz w:val="24"/>
              </w:rPr>
            </w:pPr>
          </w:p>
        </w:tc>
        <w:tc>
          <w:tcPr>
            <w:tcW w:w="992" w:type="dxa"/>
            <w:vAlign w:val="center"/>
          </w:tcPr>
          <w:p>
            <w:pPr>
              <w:jc w:val="center"/>
              <w:rPr>
                <w:sz w:val="24"/>
              </w:rPr>
            </w:pPr>
            <w:r>
              <w:rPr>
                <w:rFonts w:hint="eastAsia"/>
                <w:sz w:val="24"/>
              </w:rPr>
              <w:t>学 号</w:t>
            </w:r>
          </w:p>
        </w:tc>
        <w:tc>
          <w:tcPr>
            <w:tcW w:w="1417" w:type="dxa"/>
            <w:vAlign w:val="center"/>
          </w:tcPr>
          <w:p>
            <w:pPr>
              <w:jc w:val="center"/>
              <w:rPr>
                <w:sz w:val="24"/>
              </w:rPr>
            </w:pPr>
          </w:p>
        </w:tc>
        <w:tc>
          <w:tcPr>
            <w:tcW w:w="1134" w:type="dxa"/>
            <w:vAlign w:val="center"/>
          </w:tcPr>
          <w:p>
            <w:pPr>
              <w:jc w:val="center"/>
              <w:rPr>
                <w:sz w:val="24"/>
              </w:rPr>
            </w:pPr>
            <w:r>
              <w:rPr>
                <w:rFonts w:hint="eastAsia"/>
                <w:sz w:val="24"/>
              </w:rPr>
              <w:t>性别</w:t>
            </w:r>
          </w:p>
        </w:tc>
        <w:tc>
          <w:tcPr>
            <w:tcW w:w="709" w:type="dxa"/>
            <w:vAlign w:val="center"/>
          </w:tcPr>
          <w:p>
            <w:pPr>
              <w:ind w:firstLine="120" w:firstLineChars="50"/>
              <w:jc w:val="center"/>
              <w:rPr>
                <w:sz w:val="24"/>
              </w:rPr>
            </w:pPr>
          </w:p>
        </w:tc>
        <w:tc>
          <w:tcPr>
            <w:tcW w:w="851" w:type="dxa"/>
            <w:vAlign w:val="center"/>
          </w:tcPr>
          <w:p>
            <w:pPr>
              <w:ind w:firstLine="120" w:firstLineChars="50"/>
              <w:rPr>
                <w:sz w:val="24"/>
              </w:rPr>
            </w:pPr>
            <w:r>
              <w:rPr>
                <w:rFonts w:hint="eastAsia"/>
                <w:sz w:val="24"/>
              </w:rPr>
              <w:t>层次</w:t>
            </w:r>
          </w:p>
        </w:tc>
        <w:tc>
          <w:tcPr>
            <w:tcW w:w="2126" w:type="dxa"/>
            <w:vAlign w:val="center"/>
          </w:tcPr>
          <w:p>
            <w:pPr>
              <w:rPr>
                <w:sz w:val="24"/>
              </w:rPr>
            </w:pPr>
            <w:r>
              <w:rPr>
                <w:rFonts w:hint="eastAsia"/>
                <w:sz w:val="24"/>
              </w:rPr>
              <w:t>本科</w:t>
            </w:r>
            <w:r>
              <w:rPr>
                <w:rFonts w:hint="eastAsia" w:ascii="宋体" w:hAnsi="宋体"/>
                <w:sz w:val="24"/>
              </w:rPr>
              <w:t>□</w:t>
            </w:r>
          </w:p>
          <w:p>
            <w:pPr>
              <w:rPr>
                <w:sz w:val="24"/>
              </w:rPr>
            </w:pPr>
            <w:r>
              <w:rPr>
                <w:rFonts w:hint="eastAsia"/>
                <w:sz w:val="24"/>
              </w:rPr>
              <w:t>专科</w:t>
            </w:r>
            <w:r>
              <w:rPr>
                <w:rFonts w:hint="eastAsia" w:ascii="宋体" w:hAnsi="宋体"/>
                <w:sz w:val="24"/>
              </w:rPr>
              <w:t>□</w:t>
            </w: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9" w:hRule="atLeast"/>
        </w:trPr>
        <w:tc>
          <w:tcPr>
            <w:tcW w:w="896" w:type="dxa"/>
            <w:vAlign w:val="center"/>
          </w:tcPr>
          <w:p>
            <w:pPr>
              <w:jc w:val="center"/>
              <w:rPr>
                <w:sz w:val="24"/>
              </w:rPr>
            </w:pPr>
            <w:r>
              <w:rPr>
                <w:rFonts w:hint="eastAsia"/>
                <w:sz w:val="24"/>
              </w:rPr>
              <w:t>院 别</w:t>
            </w:r>
          </w:p>
        </w:tc>
        <w:tc>
          <w:tcPr>
            <w:tcW w:w="1288" w:type="dxa"/>
            <w:gridSpan w:val="2"/>
            <w:vAlign w:val="center"/>
          </w:tcPr>
          <w:p>
            <w:pPr>
              <w:jc w:val="center"/>
              <w:rPr>
                <w:sz w:val="24"/>
              </w:rPr>
            </w:pPr>
          </w:p>
        </w:tc>
        <w:tc>
          <w:tcPr>
            <w:tcW w:w="992" w:type="dxa"/>
            <w:vAlign w:val="center"/>
          </w:tcPr>
          <w:p>
            <w:pPr>
              <w:jc w:val="center"/>
              <w:rPr>
                <w:sz w:val="24"/>
              </w:rPr>
            </w:pPr>
            <w:r>
              <w:rPr>
                <w:rFonts w:hint="eastAsia"/>
                <w:sz w:val="24"/>
              </w:rPr>
              <w:t>专 业</w:t>
            </w:r>
          </w:p>
        </w:tc>
        <w:tc>
          <w:tcPr>
            <w:tcW w:w="1417" w:type="dxa"/>
            <w:vAlign w:val="center"/>
          </w:tcPr>
          <w:p>
            <w:pPr>
              <w:jc w:val="center"/>
              <w:rPr>
                <w:sz w:val="24"/>
              </w:rPr>
            </w:pPr>
          </w:p>
        </w:tc>
        <w:tc>
          <w:tcPr>
            <w:tcW w:w="1134" w:type="dxa"/>
            <w:vAlign w:val="center"/>
          </w:tcPr>
          <w:p>
            <w:pPr>
              <w:jc w:val="center"/>
              <w:rPr>
                <w:sz w:val="24"/>
              </w:rPr>
            </w:pPr>
            <w:r>
              <w:rPr>
                <w:rFonts w:hint="eastAsia"/>
                <w:sz w:val="24"/>
              </w:rPr>
              <w:t>原班级</w:t>
            </w:r>
          </w:p>
        </w:tc>
        <w:tc>
          <w:tcPr>
            <w:tcW w:w="368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05" w:hRule="atLeast"/>
        </w:trPr>
        <w:tc>
          <w:tcPr>
            <w:tcW w:w="896" w:type="dxa"/>
            <w:vAlign w:val="center"/>
          </w:tcPr>
          <w:p>
            <w:pPr>
              <w:jc w:val="center"/>
              <w:rPr>
                <w:sz w:val="24"/>
              </w:rPr>
            </w:pPr>
            <w:r>
              <w:rPr>
                <w:rFonts w:hint="eastAsia"/>
                <w:sz w:val="24"/>
              </w:rPr>
              <w:t>拟 转</w:t>
            </w:r>
          </w:p>
          <w:p>
            <w:pPr>
              <w:jc w:val="center"/>
              <w:rPr>
                <w:sz w:val="24"/>
              </w:rPr>
            </w:pPr>
            <w:r>
              <w:rPr>
                <w:rFonts w:hint="eastAsia"/>
                <w:sz w:val="24"/>
              </w:rPr>
              <w:t>学 院</w:t>
            </w:r>
          </w:p>
        </w:tc>
        <w:tc>
          <w:tcPr>
            <w:tcW w:w="1288" w:type="dxa"/>
            <w:gridSpan w:val="2"/>
            <w:vAlign w:val="center"/>
          </w:tcPr>
          <w:p>
            <w:pPr>
              <w:jc w:val="center"/>
              <w:rPr>
                <w:sz w:val="24"/>
              </w:rPr>
            </w:pPr>
          </w:p>
        </w:tc>
        <w:tc>
          <w:tcPr>
            <w:tcW w:w="992" w:type="dxa"/>
            <w:vAlign w:val="center"/>
          </w:tcPr>
          <w:p>
            <w:pPr>
              <w:jc w:val="center"/>
              <w:rPr>
                <w:sz w:val="24"/>
              </w:rPr>
            </w:pPr>
            <w:r>
              <w:rPr>
                <w:rFonts w:hint="eastAsia"/>
                <w:sz w:val="24"/>
              </w:rPr>
              <w:t>拟 转</w:t>
            </w:r>
          </w:p>
          <w:p>
            <w:pPr>
              <w:jc w:val="center"/>
              <w:rPr>
                <w:sz w:val="24"/>
              </w:rPr>
            </w:pPr>
            <w:r>
              <w:rPr>
                <w:rFonts w:hint="eastAsia"/>
                <w:sz w:val="24"/>
              </w:rPr>
              <w:t>专 业</w:t>
            </w:r>
          </w:p>
        </w:tc>
        <w:tc>
          <w:tcPr>
            <w:tcW w:w="1417" w:type="dxa"/>
            <w:vAlign w:val="center"/>
          </w:tcPr>
          <w:p>
            <w:pPr>
              <w:jc w:val="center"/>
              <w:rPr>
                <w:sz w:val="24"/>
              </w:rPr>
            </w:pPr>
          </w:p>
        </w:tc>
        <w:tc>
          <w:tcPr>
            <w:tcW w:w="1134" w:type="dxa"/>
            <w:vAlign w:val="center"/>
          </w:tcPr>
          <w:p>
            <w:pPr>
              <w:jc w:val="center"/>
              <w:rPr>
                <w:sz w:val="24"/>
              </w:rPr>
            </w:pPr>
            <w:r>
              <w:rPr>
                <w:rFonts w:hint="eastAsia"/>
                <w:sz w:val="24"/>
              </w:rPr>
              <w:t>编入</w:t>
            </w:r>
          </w:p>
          <w:p>
            <w:pPr>
              <w:jc w:val="center"/>
              <w:rPr>
                <w:sz w:val="24"/>
              </w:rPr>
            </w:pPr>
            <w:r>
              <w:rPr>
                <w:rFonts w:hint="eastAsia"/>
                <w:sz w:val="24"/>
              </w:rPr>
              <w:t>班级</w:t>
            </w:r>
          </w:p>
        </w:tc>
        <w:tc>
          <w:tcPr>
            <w:tcW w:w="368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50" w:hRule="atLeast"/>
        </w:trPr>
        <w:tc>
          <w:tcPr>
            <w:tcW w:w="1844" w:type="dxa"/>
            <w:gridSpan w:val="2"/>
            <w:vAlign w:val="center"/>
          </w:tcPr>
          <w:p>
            <w:pPr>
              <w:spacing w:line="300" w:lineRule="exact"/>
              <w:jc w:val="center"/>
              <w:rPr>
                <w:sz w:val="24"/>
              </w:rPr>
            </w:pPr>
            <w:r>
              <w:rPr>
                <w:rFonts w:hint="eastAsia"/>
                <w:sz w:val="24"/>
              </w:rPr>
              <w:t>转专业</w:t>
            </w:r>
          </w:p>
          <w:p>
            <w:pPr>
              <w:spacing w:line="300" w:lineRule="exact"/>
              <w:jc w:val="center"/>
              <w:rPr>
                <w:sz w:val="24"/>
              </w:rPr>
            </w:pPr>
            <w:r>
              <w:rPr>
                <w:rFonts w:hint="eastAsia"/>
                <w:sz w:val="24"/>
              </w:rPr>
              <w:t>原  因</w:t>
            </w:r>
          </w:p>
        </w:tc>
        <w:tc>
          <w:tcPr>
            <w:tcW w:w="7569" w:type="dxa"/>
            <w:gridSpan w:val="7"/>
            <w:vAlign w:val="center"/>
          </w:tcPr>
          <w:p>
            <w:pPr>
              <w:spacing w:line="300" w:lineRule="exact"/>
              <w:rPr>
                <w:sz w:val="24"/>
              </w:rPr>
            </w:pPr>
          </w:p>
          <w:p>
            <w:pPr>
              <w:spacing w:line="300" w:lineRule="exact"/>
              <w:rPr>
                <w:sz w:val="24"/>
              </w:rPr>
            </w:pPr>
          </w:p>
          <w:p>
            <w:pPr>
              <w:spacing w:line="300" w:lineRule="exact"/>
              <w:rPr>
                <w:sz w:val="24"/>
              </w:rPr>
            </w:pPr>
          </w:p>
          <w:p>
            <w:pPr>
              <w:spacing w:line="300" w:lineRule="exact"/>
              <w:rPr>
                <w:sz w:val="24"/>
              </w:rPr>
            </w:pPr>
            <w:r>
              <w:rPr>
                <w:rFonts w:hint="eastAsia"/>
                <w:sz w:val="24"/>
              </w:rPr>
              <w:t xml:space="preserve">                           学生签名：       </w:t>
            </w:r>
          </w:p>
          <w:p>
            <w:pPr>
              <w:spacing w:line="300" w:lineRule="exact"/>
              <w:ind w:firstLine="5040" w:firstLineChars="2100"/>
              <w:rPr>
                <w:sz w:val="24"/>
              </w:rPr>
            </w:pPr>
          </w:p>
          <w:p>
            <w:pPr>
              <w:spacing w:line="300" w:lineRule="exact"/>
              <w:ind w:firstLine="5040" w:firstLineChars="2100"/>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17" w:hRule="atLeast"/>
        </w:trPr>
        <w:tc>
          <w:tcPr>
            <w:tcW w:w="1844" w:type="dxa"/>
            <w:gridSpan w:val="2"/>
            <w:vAlign w:val="center"/>
          </w:tcPr>
          <w:p>
            <w:pPr>
              <w:spacing w:line="300" w:lineRule="exact"/>
              <w:jc w:val="center"/>
              <w:rPr>
                <w:sz w:val="24"/>
              </w:rPr>
            </w:pPr>
            <w:r>
              <w:rPr>
                <w:rFonts w:hint="eastAsia"/>
                <w:sz w:val="24"/>
              </w:rPr>
              <w:t>学校招生就业处意  见</w:t>
            </w:r>
          </w:p>
        </w:tc>
        <w:tc>
          <w:tcPr>
            <w:tcW w:w="7569" w:type="dxa"/>
            <w:gridSpan w:val="7"/>
          </w:tcPr>
          <w:p>
            <w:pPr>
              <w:spacing w:line="300" w:lineRule="exact"/>
              <w:ind w:firstLine="480"/>
              <w:jc w:val="left"/>
              <w:rPr>
                <w:sz w:val="24"/>
              </w:rPr>
            </w:pPr>
            <w:r>
              <w:rPr>
                <w:rFonts w:hint="eastAsia"/>
                <w:sz w:val="24"/>
              </w:rPr>
              <w:t>原专业与拟转专业是否为同一科类。</w:t>
            </w:r>
          </w:p>
          <w:p>
            <w:pPr>
              <w:spacing w:line="300" w:lineRule="exact"/>
              <w:ind w:firstLine="480"/>
              <w:jc w:val="left"/>
              <w:rPr>
                <w:sz w:val="24"/>
              </w:rPr>
            </w:pPr>
            <w:r>
              <w:rPr>
                <w:rFonts w:hint="eastAsia"/>
                <w:sz w:val="24"/>
              </w:rPr>
              <w:t xml:space="preserve">是 </w:t>
            </w:r>
            <w:r>
              <w:rPr>
                <w:rFonts w:hint="eastAsia" w:ascii="宋体" w:hAnsi="宋体"/>
                <w:sz w:val="24"/>
              </w:rPr>
              <w:t>□</w:t>
            </w:r>
            <w:r>
              <w:rPr>
                <w:rFonts w:hint="eastAsia"/>
                <w:sz w:val="24"/>
              </w:rPr>
              <w:t xml:space="preserve">        否 </w:t>
            </w:r>
            <w:r>
              <w:rPr>
                <w:rFonts w:hint="eastAsia" w:ascii="宋体" w:hAnsi="宋体"/>
                <w:sz w:val="24"/>
              </w:rPr>
              <w:t>□</w:t>
            </w:r>
          </w:p>
          <w:p>
            <w:pPr>
              <w:spacing w:line="300" w:lineRule="exact"/>
              <w:jc w:val="center"/>
              <w:rPr>
                <w:sz w:val="24"/>
              </w:rPr>
            </w:pPr>
          </w:p>
          <w:p>
            <w:pPr>
              <w:spacing w:line="300" w:lineRule="exact"/>
              <w:jc w:val="center"/>
              <w:rPr>
                <w:sz w:val="24"/>
              </w:rPr>
            </w:pPr>
            <w:r>
              <w:rPr>
                <w:rFonts w:hint="eastAsia"/>
                <w:sz w:val="24"/>
              </w:rPr>
              <w:t>经办人签字：        （公章）</w:t>
            </w:r>
            <w:r>
              <w:rPr>
                <w:sz w:val="24"/>
              </w:rPr>
              <w:t xml:space="preserve">  </w:t>
            </w:r>
            <w:r>
              <w:rPr>
                <w:rFonts w:hint="eastAsia"/>
                <w:sz w:val="24"/>
              </w:rPr>
              <w:t xml:space="preserve">   </w:t>
            </w:r>
            <w:r>
              <w:rPr>
                <w:sz w:val="24"/>
              </w:rPr>
              <w:t xml:space="preserve">  </w:t>
            </w:r>
          </w:p>
          <w:p>
            <w:pPr>
              <w:spacing w:line="300" w:lineRule="exact"/>
              <w:jc w:val="center"/>
              <w:rPr>
                <w:sz w:val="24"/>
              </w:rPr>
            </w:pPr>
            <w:r>
              <w:rPr>
                <w:rFonts w:hint="eastAsia"/>
                <w:sz w:val="24"/>
              </w:rPr>
              <w:t xml:space="preserve">                                     </w:t>
            </w:r>
          </w:p>
          <w:p>
            <w:pPr>
              <w:spacing w:line="300" w:lineRule="exact"/>
              <w:jc w:val="righ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95" w:hRule="atLeast"/>
        </w:trPr>
        <w:tc>
          <w:tcPr>
            <w:tcW w:w="1844" w:type="dxa"/>
            <w:gridSpan w:val="2"/>
            <w:vAlign w:val="center"/>
          </w:tcPr>
          <w:p>
            <w:pPr>
              <w:spacing w:line="300" w:lineRule="exact"/>
              <w:jc w:val="center"/>
              <w:rPr>
                <w:sz w:val="24"/>
              </w:rPr>
            </w:pPr>
            <w:r>
              <w:rPr>
                <w:rFonts w:hint="eastAsia"/>
                <w:sz w:val="24"/>
              </w:rPr>
              <w:t>拟转出学院</w:t>
            </w:r>
          </w:p>
          <w:p>
            <w:pPr>
              <w:spacing w:line="300" w:lineRule="exact"/>
              <w:jc w:val="center"/>
              <w:rPr>
                <w:sz w:val="24"/>
              </w:rPr>
            </w:pPr>
            <w:r>
              <w:rPr>
                <w:rFonts w:hint="eastAsia"/>
                <w:sz w:val="24"/>
              </w:rPr>
              <w:t>意  见</w:t>
            </w:r>
          </w:p>
        </w:tc>
        <w:tc>
          <w:tcPr>
            <w:tcW w:w="7569" w:type="dxa"/>
            <w:gridSpan w:val="7"/>
            <w:vAlign w:val="bottom"/>
          </w:tcPr>
          <w:p>
            <w:pPr>
              <w:tabs>
                <w:tab w:val="left" w:pos="3241"/>
              </w:tabs>
              <w:spacing w:line="360" w:lineRule="auto"/>
              <w:ind w:right="476"/>
              <w:jc w:val="center"/>
              <w:rPr>
                <w:sz w:val="24"/>
              </w:rPr>
            </w:pPr>
            <w:r>
              <w:rPr>
                <w:rFonts w:hint="eastAsia"/>
                <w:sz w:val="24"/>
              </w:rPr>
              <w:t xml:space="preserve">                       </w:t>
            </w:r>
          </w:p>
          <w:p>
            <w:pPr>
              <w:tabs>
                <w:tab w:val="left" w:pos="3241"/>
              </w:tabs>
              <w:spacing w:line="360" w:lineRule="auto"/>
              <w:ind w:right="476"/>
              <w:jc w:val="center"/>
              <w:rPr>
                <w:sz w:val="24"/>
              </w:rPr>
            </w:pPr>
            <w:r>
              <w:rPr>
                <w:rFonts w:hint="eastAsia"/>
                <w:sz w:val="24"/>
              </w:rPr>
              <w:t xml:space="preserve">   院长签字：        （公章）</w:t>
            </w:r>
            <w:r>
              <w:rPr>
                <w:sz w:val="24"/>
              </w:rPr>
              <w:t xml:space="preserve">  </w:t>
            </w:r>
            <w:r>
              <w:rPr>
                <w:rFonts w:hint="eastAsia"/>
                <w:sz w:val="24"/>
              </w:rPr>
              <w:t xml:space="preserve">   </w:t>
            </w:r>
            <w:r>
              <w:rPr>
                <w:sz w:val="24"/>
              </w:rPr>
              <w:t xml:space="preserve">  </w:t>
            </w:r>
          </w:p>
          <w:p>
            <w:pPr>
              <w:spacing w:line="300" w:lineRule="exact"/>
              <w:jc w:val="right"/>
              <w:rPr>
                <w:sz w:val="24"/>
              </w:rPr>
            </w:pPr>
          </w:p>
          <w:p>
            <w:pPr>
              <w:spacing w:line="300" w:lineRule="exact"/>
              <w:jc w:val="right"/>
              <w:rPr>
                <w:sz w:val="24"/>
              </w:rPr>
            </w:pPr>
            <w:r>
              <w:rPr>
                <w:rFonts w:hint="eastAsia"/>
                <w:sz w:val="24"/>
              </w:rPr>
              <w:t>年   月   日</w:t>
            </w:r>
          </w:p>
          <w:p>
            <w:pPr>
              <w:spacing w:line="300" w:lineRule="exact"/>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843" w:hRule="atLeast"/>
        </w:trPr>
        <w:tc>
          <w:tcPr>
            <w:tcW w:w="1844" w:type="dxa"/>
            <w:gridSpan w:val="2"/>
            <w:vAlign w:val="center"/>
          </w:tcPr>
          <w:p>
            <w:pPr>
              <w:spacing w:line="300" w:lineRule="exact"/>
              <w:jc w:val="center"/>
              <w:rPr>
                <w:sz w:val="24"/>
              </w:rPr>
            </w:pPr>
            <w:r>
              <w:rPr>
                <w:rFonts w:hint="eastAsia"/>
                <w:sz w:val="24"/>
              </w:rPr>
              <w:t>拟转入学院</w:t>
            </w:r>
          </w:p>
          <w:p>
            <w:pPr>
              <w:spacing w:line="300" w:lineRule="exact"/>
              <w:jc w:val="center"/>
              <w:rPr>
                <w:sz w:val="24"/>
              </w:rPr>
            </w:pPr>
            <w:r>
              <w:rPr>
                <w:rFonts w:hint="eastAsia"/>
                <w:sz w:val="24"/>
              </w:rPr>
              <w:t>意  见</w:t>
            </w:r>
          </w:p>
        </w:tc>
        <w:tc>
          <w:tcPr>
            <w:tcW w:w="7569" w:type="dxa"/>
            <w:gridSpan w:val="7"/>
          </w:tcPr>
          <w:p>
            <w:pPr>
              <w:spacing w:line="300" w:lineRule="exact"/>
              <w:rPr>
                <w:sz w:val="24"/>
              </w:rPr>
            </w:pPr>
          </w:p>
          <w:p>
            <w:pPr>
              <w:spacing w:line="300" w:lineRule="exact"/>
              <w:rPr>
                <w:sz w:val="24"/>
              </w:rPr>
            </w:pPr>
          </w:p>
          <w:p>
            <w:pPr>
              <w:spacing w:line="360" w:lineRule="auto"/>
              <w:rPr>
                <w:sz w:val="24"/>
              </w:rPr>
            </w:pPr>
          </w:p>
          <w:p>
            <w:pPr>
              <w:spacing w:line="360" w:lineRule="auto"/>
              <w:rPr>
                <w:sz w:val="24"/>
              </w:rPr>
            </w:pPr>
          </w:p>
          <w:p>
            <w:pPr>
              <w:spacing w:line="360" w:lineRule="auto"/>
              <w:jc w:val="left"/>
              <w:rPr>
                <w:sz w:val="24"/>
              </w:rPr>
            </w:pPr>
            <w:r>
              <w:rPr>
                <w:sz w:val="24"/>
              </w:rPr>
              <w:t xml:space="preserve"> </w:t>
            </w:r>
            <w:r>
              <w:rPr>
                <w:rFonts w:hint="eastAsia"/>
                <w:sz w:val="24"/>
              </w:rPr>
              <w:t xml:space="preserve">                          院长签字：        （公章）</w:t>
            </w:r>
            <w:r>
              <w:rPr>
                <w:sz w:val="24"/>
              </w:rPr>
              <w:t xml:space="preserve">  </w:t>
            </w:r>
            <w:r>
              <w:rPr>
                <w:rFonts w:hint="eastAsia"/>
                <w:sz w:val="24"/>
              </w:rPr>
              <w:t xml:space="preserve">   </w:t>
            </w:r>
            <w:r>
              <w:rPr>
                <w:sz w:val="24"/>
              </w:rPr>
              <w:t xml:space="preserve">  </w:t>
            </w:r>
          </w:p>
          <w:p>
            <w:pPr>
              <w:spacing w:line="360" w:lineRule="auto"/>
              <w:ind w:firstLine="4800" w:firstLineChars="20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85" w:hRule="atLeast"/>
        </w:trPr>
        <w:tc>
          <w:tcPr>
            <w:tcW w:w="1844" w:type="dxa"/>
            <w:gridSpan w:val="2"/>
            <w:vAlign w:val="center"/>
          </w:tcPr>
          <w:p>
            <w:pPr>
              <w:spacing w:line="300" w:lineRule="exact"/>
              <w:jc w:val="center"/>
              <w:rPr>
                <w:sz w:val="24"/>
              </w:rPr>
            </w:pPr>
            <w:r>
              <w:rPr>
                <w:rFonts w:hint="eastAsia"/>
                <w:sz w:val="24"/>
              </w:rPr>
              <w:t>教务处</w:t>
            </w:r>
          </w:p>
          <w:p>
            <w:pPr>
              <w:spacing w:line="300" w:lineRule="exact"/>
              <w:jc w:val="center"/>
              <w:rPr>
                <w:sz w:val="24"/>
              </w:rPr>
            </w:pPr>
            <w:r>
              <w:rPr>
                <w:rFonts w:hint="eastAsia"/>
                <w:sz w:val="24"/>
              </w:rPr>
              <w:t>意  见</w:t>
            </w:r>
          </w:p>
        </w:tc>
        <w:tc>
          <w:tcPr>
            <w:tcW w:w="7569" w:type="dxa"/>
            <w:gridSpan w:val="7"/>
          </w:tcPr>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60" w:lineRule="auto"/>
              <w:rPr>
                <w:sz w:val="24"/>
              </w:rPr>
            </w:pPr>
            <w:r>
              <w:rPr>
                <w:rFonts w:hint="eastAsia"/>
                <w:sz w:val="24"/>
              </w:rPr>
              <w:t xml:space="preserve">                           教务处处长签字：  </w:t>
            </w:r>
            <w:r>
              <w:rPr>
                <w:sz w:val="24"/>
              </w:rPr>
              <w:t xml:space="preserve">     </w:t>
            </w:r>
            <w:r>
              <w:rPr>
                <w:rFonts w:hint="eastAsia"/>
                <w:sz w:val="24"/>
              </w:rPr>
              <w:t>（公章）</w:t>
            </w:r>
            <w:r>
              <w:rPr>
                <w:sz w:val="24"/>
              </w:rPr>
              <w:t xml:space="preserve"> </w:t>
            </w:r>
            <w:r>
              <w:rPr>
                <w:rFonts w:hint="eastAsia"/>
                <w:sz w:val="24"/>
              </w:rPr>
              <w:t xml:space="preserve">  </w:t>
            </w:r>
            <w:r>
              <w:rPr>
                <w:sz w:val="24"/>
              </w:rPr>
              <w:t xml:space="preserve">    </w:t>
            </w:r>
          </w:p>
          <w:p>
            <w:pPr>
              <w:spacing w:line="360" w:lineRule="auto"/>
              <w:ind w:firstLine="4800" w:firstLineChars="2000"/>
              <w:rPr>
                <w:sz w:val="24"/>
              </w:rPr>
            </w:pPr>
            <w:r>
              <w:rPr>
                <w:rFonts w:hint="eastAsia"/>
                <w:sz w:val="24"/>
              </w:rPr>
              <w:t>年   月   日</w:t>
            </w:r>
          </w:p>
        </w:tc>
      </w:tr>
    </w:tbl>
    <w:p>
      <w:pPr>
        <w:spacing w:line="360" w:lineRule="auto"/>
        <w:rPr>
          <w:rFonts w:asciiTheme="minorEastAsia" w:hAnsiTheme="minorEastAsia"/>
          <w:sz w:val="24"/>
          <w:szCs w:val="24"/>
        </w:rPr>
      </w:pPr>
      <w:r>
        <w:rPr>
          <w:rFonts w:ascii="宋体" w:hAnsi="宋体" w:cs="宋体"/>
          <w:kern w:val="0"/>
          <w:sz w:val="32"/>
          <w:szCs w:val="32"/>
        </w:rPr>
        <w:t>　</w:t>
      </w:r>
    </w:p>
    <w:p>
      <w:pPr>
        <w:pStyle w:val="2"/>
        <w:tabs>
          <w:tab w:val="left" w:pos="322"/>
        </w:tabs>
        <w:spacing w:line="560" w:lineRule="exact"/>
        <w:ind w:firstLine="643"/>
        <w:jc w:val="center"/>
        <w:rPr>
          <w:rFonts w:asciiTheme="majorEastAsia" w:hAnsiTheme="majorEastAsia" w:eastAsiaTheme="majorEastAsia"/>
          <w:bCs w:val="0"/>
          <w:sz w:val="32"/>
          <w:szCs w:val="32"/>
        </w:rPr>
      </w:pPr>
      <w:r>
        <w:rPr>
          <w:rFonts w:asciiTheme="majorEastAsia" w:hAnsiTheme="majorEastAsia" w:eastAsiaTheme="majorEastAsia"/>
          <w:bCs w:val="0"/>
          <w:sz w:val="32"/>
          <w:szCs w:val="32"/>
        </w:rPr>
        <w:t>内江师范学院学生证管理条例（修订）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内师教字〔2014〕79号</w:t>
      </w:r>
    </w:p>
    <w:p>
      <w:pPr>
        <w:spacing w:line="560" w:lineRule="exact"/>
        <w:jc w:val="center"/>
        <w:rPr>
          <w:rFonts w:asciiTheme="majorEastAsia" w:hAnsiTheme="majorEastAsia" w:eastAsiaTheme="majorEastAsia"/>
          <w:b/>
          <w:sz w:val="28"/>
          <w:szCs w:val="28"/>
        </w:rPr>
      </w:pPr>
    </w:p>
    <w:p>
      <w:pPr>
        <w:pStyle w:val="10"/>
        <w:spacing w:before="0" w:beforeAutospacing="0" w:after="0" w:afterAutospacing="0" w:line="360" w:lineRule="auto"/>
        <w:ind w:firstLine="480" w:firstLineChars="200"/>
        <w:rPr>
          <w:rFonts w:asciiTheme="minorEastAsia" w:hAnsiTheme="minorEastAsia" w:eastAsiaTheme="minorEastAsia"/>
        </w:rPr>
      </w:pPr>
      <w:r>
        <w:rPr>
          <w:rFonts w:asciiTheme="minorEastAsia" w:hAnsiTheme="minorEastAsia" w:eastAsiaTheme="minorEastAsia"/>
        </w:rPr>
        <w:t>根据《教育部办公厅关于加强高等学校学生证管理的通知》(教学厅〔2001〕8号文)精神，根据我校实际，制定本条例。</w:t>
      </w:r>
    </w:p>
    <w:p>
      <w:pPr>
        <w:pStyle w:val="10"/>
        <w:spacing w:before="0" w:beforeAutospacing="0" w:after="0" w:afterAutospacing="0" w:line="360" w:lineRule="auto"/>
        <w:ind w:firstLine="482" w:firstLineChars="200"/>
        <w:rPr>
          <w:rFonts w:asciiTheme="minorEastAsia" w:hAnsiTheme="minorEastAsia" w:eastAsiaTheme="minorEastAsia"/>
        </w:rPr>
      </w:pPr>
      <w:r>
        <w:rPr>
          <w:rFonts w:asciiTheme="minorEastAsia" w:hAnsiTheme="minorEastAsia" w:eastAsiaTheme="minorEastAsia"/>
          <w:b/>
        </w:rPr>
        <w:t>第一条</w:t>
      </w:r>
      <w:r>
        <w:rPr>
          <w:rFonts w:asciiTheme="minorEastAsia" w:hAnsiTheme="minorEastAsia" w:eastAsiaTheme="minorEastAsia"/>
        </w:rPr>
        <w:t xml:space="preserve">  新生入学后三个月内，经复查符合入学条件者，准予注册，发给学生证。以后每学期开学时，学生须持学生证到所在学院教学科研办公室办理注册手续，加盖“注册专用章”注册后方有效。</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第二条</w:t>
      </w:r>
      <w:r>
        <w:rPr>
          <w:rFonts w:hint="eastAsia" w:asciiTheme="minorEastAsia" w:hAnsiTheme="minorEastAsia"/>
          <w:sz w:val="24"/>
          <w:szCs w:val="24"/>
        </w:rPr>
        <w:t xml:space="preserve">  学生证是学生在校期间的学籍证明。学生证只限学生本人使用，不得转借和抵押。要注意保管和爱护学生证，不得故意损坏、遗失、冒领、涂改、转借。违者视情节轻重，给予批评教育直至纪律处分，造成不良后果者，须按有关法规和校纪追究责任，并负责赔偿由此造成的一切损失。 </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第三条</w:t>
      </w:r>
      <w:r>
        <w:rPr>
          <w:rFonts w:hint="eastAsia" w:asciiTheme="minorEastAsia" w:hAnsiTheme="minorEastAsia"/>
          <w:sz w:val="24"/>
          <w:szCs w:val="24"/>
        </w:rPr>
        <w:t xml:space="preserve">  学生不慎将学生证遗失，应尽量寻找。确实无法找到时，应及时填写《学生证补办申请表》，说明遗失原因和经过，经班主任签署意见，所在二级学院审查盖章后，在规定时间内到教务处补办学生证。补办学生证，须按规定缴纳补办费用。在申请补办学生证过程中弄虚作假者，一经查出，视情节轻重给予批评教育，直至纪律处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第四条</w:t>
      </w:r>
      <w:r>
        <w:rPr>
          <w:rFonts w:hint="eastAsia" w:asciiTheme="minorEastAsia" w:hAnsiTheme="minorEastAsia"/>
          <w:sz w:val="24"/>
          <w:szCs w:val="24"/>
        </w:rPr>
        <w:t xml:space="preserve">  学生丢失的学生证，在补办后又找到者，应将找到的原学生证交回教务处注册中心注销。凡持有两个学生证或使用他人学生证者，一经查出，一律从严处理。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第五条</w:t>
      </w:r>
      <w:r>
        <w:rPr>
          <w:rFonts w:hint="eastAsia" w:asciiTheme="minorEastAsia" w:hAnsiTheme="minorEastAsia"/>
          <w:sz w:val="24"/>
          <w:szCs w:val="24"/>
        </w:rPr>
        <w:t xml:space="preserve">  根据铁道部规定，学生凭“火车票学生优惠卡”每年享受寒、暑假往返硬座半票的优惠。学生证乘车区域是根据学生入学时的家庭地址填写的，不能随意改动。如父母工作变动到异地工作，必须由父母所在新单位人事部门和派出所出具证明，经教务处批准后予以变动。凡借给他人购买学生优待票者，一经发现，停止持证人享受学生乘车优待，视情节轻重给予批评教育或纪律处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第六条</w:t>
      </w:r>
      <w:r>
        <w:rPr>
          <w:rFonts w:hint="eastAsia" w:asciiTheme="minorEastAsia" w:hAnsiTheme="minorEastAsia"/>
          <w:sz w:val="24"/>
          <w:szCs w:val="24"/>
        </w:rPr>
        <w:t xml:space="preserve"> 凡因丢失学生证造成的一切损失和后果，均由学生本人负责。学生休学、复学，应及时更换学生证；退学、转学及毕业时，学生将学生证交学校教务处加盖注销章后可留作纪念。</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第七条</w:t>
      </w:r>
      <w:r>
        <w:rPr>
          <w:rFonts w:hint="eastAsia" w:asciiTheme="minorEastAsia" w:hAnsiTheme="minorEastAsia"/>
          <w:sz w:val="24"/>
          <w:szCs w:val="24"/>
        </w:rPr>
        <w:t xml:space="preserve">  本条例自发文之日起实施，由教务处负责解释。</w:t>
      </w:r>
    </w:p>
    <w:p>
      <w:pPr>
        <w:widowControl/>
        <w:spacing w:line="360" w:lineRule="auto"/>
        <w:rPr>
          <w:rFonts w:asciiTheme="minorEastAsia" w:hAnsiTheme="minorEastAsia"/>
          <w:sz w:val="24"/>
          <w:szCs w:val="24"/>
        </w:rPr>
      </w:pPr>
    </w:p>
    <w:p>
      <w:pPr>
        <w:spacing w:line="360" w:lineRule="auto"/>
        <w:ind w:left="3574" w:hanging="3573" w:hangingChars="1489"/>
        <w:jc w:val="right"/>
        <w:rPr>
          <w:rFonts w:hint="eastAsia" w:asciiTheme="minorEastAsia" w:hAnsiTheme="minorEastAsia"/>
          <w:sz w:val="24"/>
          <w:szCs w:val="24"/>
        </w:rPr>
      </w:pPr>
      <w:r>
        <w:rPr>
          <w:rFonts w:hint="eastAsia" w:asciiTheme="minorEastAsia" w:hAnsiTheme="minorEastAsia"/>
          <w:sz w:val="24"/>
          <w:szCs w:val="24"/>
        </w:rPr>
        <w:t>2014年6月27日</w:t>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内江师范学院教学工作规范（试行）</w:t>
      </w:r>
    </w:p>
    <w:p>
      <w:pPr>
        <w:spacing w:line="560" w:lineRule="exact"/>
        <w:jc w:val="center"/>
        <w:rPr>
          <w:rFonts w:asciiTheme="minorEastAsia" w:hAnsiTheme="minorEastAsia"/>
          <w:b/>
          <w:sz w:val="28"/>
          <w:szCs w:val="28"/>
        </w:rPr>
      </w:pPr>
      <w:r>
        <w:rPr>
          <w:rFonts w:hint="eastAsia" w:asciiTheme="minorEastAsia" w:hAnsiTheme="minorEastAsia"/>
          <w:b/>
          <w:sz w:val="28"/>
          <w:szCs w:val="28"/>
        </w:rPr>
        <w:t>内师院发</w:t>
      </w:r>
      <w:r>
        <w:rPr>
          <w:rFonts w:hint="eastAsia" w:asciiTheme="majorEastAsia" w:hAnsiTheme="majorEastAsia" w:eastAsiaTheme="majorEastAsia"/>
          <w:b/>
          <w:sz w:val="28"/>
          <w:szCs w:val="28"/>
        </w:rPr>
        <w:t>〔201</w:t>
      </w:r>
      <w:r>
        <w:rPr>
          <w:rFonts w:asciiTheme="majorEastAsia" w:hAnsiTheme="majorEastAsia" w:eastAsiaTheme="majorEastAsia"/>
          <w:b/>
          <w:sz w:val="28"/>
          <w:szCs w:val="28"/>
        </w:rPr>
        <w:t>8</w:t>
      </w:r>
      <w:r>
        <w:rPr>
          <w:rFonts w:hint="eastAsia" w:asciiTheme="majorEastAsia" w:hAnsiTheme="majorEastAsia" w:eastAsiaTheme="majorEastAsia"/>
          <w:b/>
          <w:sz w:val="28"/>
          <w:szCs w:val="28"/>
        </w:rPr>
        <w:t>〕</w:t>
      </w:r>
      <w:r>
        <w:rPr>
          <w:rFonts w:hint="eastAsia" w:asciiTheme="minorEastAsia" w:hAnsiTheme="minorEastAsia"/>
          <w:b/>
          <w:sz w:val="28"/>
          <w:szCs w:val="28"/>
        </w:rPr>
        <w:t>75号</w:t>
      </w:r>
    </w:p>
    <w:p>
      <w:pPr>
        <w:spacing w:line="560" w:lineRule="exact"/>
        <w:jc w:val="center"/>
        <w:rPr>
          <w:rFonts w:asciiTheme="minorEastAsia" w:hAnsiTheme="minorEastAsia"/>
          <w:b/>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第一章  总 </w:t>
      </w:r>
      <w:r>
        <w:rPr>
          <w:rFonts w:asciiTheme="minorEastAsia" w:hAnsiTheme="minorEastAsia"/>
          <w:b/>
          <w:sz w:val="24"/>
          <w:szCs w:val="24"/>
        </w:rPr>
        <w:t xml:space="preserve"> </w:t>
      </w:r>
      <w:r>
        <w:rPr>
          <w:rFonts w:hint="eastAsia" w:asciiTheme="minorEastAsia" w:hAnsiTheme="minorEastAsia"/>
          <w:b/>
          <w:sz w:val="24"/>
          <w:szCs w:val="24"/>
        </w:rPr>
        <w:t>则</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第一条 </w:t>
      </w:r>
      <w:r>
        <w:rPr>
          <w:rFonts w:asciiTheme="minorEastAsia" w:hAnsiTheme="minorEastAsia"/>
          <w:sz w:val="24"/>
          <w:szCs w:val="24"/>
        </w:rPr>
        <w:t xml:space="preserve"> </w:t>
      </w:r>
      <w:r>
        <w:rPr>
          <w:rFonts w:hint="eastAsia" w:asciiTheme="minorEastAsia" w:hAnsiTheme="minorEastAsia"/>
          <w:sz w:val="24"/>
          <w:szCs w:val="24"/>
        </w:rPr>
        <w:t>为加强学校教学工作，实现教学管理科学化和规范化，牢固树立教学工作的中心地位，聚焦全员育人、全过程育人、全方位育人的工作主线，保障和提高教学质量，依据《中华人民共和国高等教育法》《中华人民共和国教师法》《内江师范学院章程》以及学校教学管理等有关规定，制订本规范。</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第二条 </w:t>
      </w:r>
      <w:r>
        <w:rPr>
          <w:rFonts w:asciiTheme="minorEastAsia" w:hAnsiTheme="minorEastAsia"/>
          <w:sz w:val="24"/>
          <w:szCs w:val="24"/>
        </w:rPr>
        <w:t xml:space="preserve"> </w:t>
      </w:r>
      <w:r>
        <w:rPr>
          <w:rFonts w:hint="eastAsia" w:asciiTheme="minorEastAsia" w:hAnsiTheme="minorEastAsia"/>
          <w:sz w:val="24"/>
          <w:szCs w:val="24"/>
        </w:rPr>
        <w:t>教学工作应秉承以学生为本的教育理念，紧紧围绕立德树人的根本任务和人才培养的核心使命，注重因材施教，培养学生的创新精神和实践能力，促进学生个性发展。</w:t>
      </w: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第二章 </w:t>
      </w:r>
      <w:r>
        <w:rPr>
          <w:rFonts w:asciiTheme="minorEastAsia" w:hAnsiTheme="minorEastAsia"/>
          <w:b/>
          <w:sz w:val="24"/>
          <w:szCs w:val="24"/>
        </w:rPr>
        <w:t xml:space="preserve"> </w:t>
      </w:r>
      <w:r>
        <w:rPr>
          <w:rFonts w:hint="eastAsia" w:asciiTheme="minorEastAsia" w:hAnsiTheme="minorEastAsia"/>
          <w:b/>
          <w:sz w:val="24"/>
          <w:szCs w:val="24"/>
        </w:rPr>
        <w:t>教师任教资格</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第三条 </w:t>
      </w:r>
      <w:r>
        <w:rPr>
          <w:rFonts w:asciiTheme="minorEastAsia" w:hAnsiTheme="minorEastAsia"/>
          <w:sz w:val="24"/>
          <w:szCs w:val="24"/>
        </w:rPr>
        <w:t xml:space="preserve"> </w:t>
      </w:r>
      <w:r>
        <w:rPr>
          <w:rFonts w:hint="eastAsia" w:asciiTheme="minorEastAsia" w:hAnsiTheme="minorEastAsia"/>
          <w:sz w:val="24"/>
          <w:szCs w:val="24"/>
        </w:rPr>
        <w:t>教师是教学工作的设计者、组织者和实施者，是课堂教学与管理的第一责任人。任课教师必须符合《中华人民共和国教师法》《教师资格条例》《高等学校教师职业道德规范》等有关规定，具有高校教师资格证书。</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第四条 </w:t>
      </w:r>
      <w:r>
        <w:rPr>
          <w:rFonts w:asciiTheme="minorEastAsia" w:hAnsiTheme="minorEastAsia"/>
          <w:sz w:val="24"/>
          <w:szCs w:val="24"/>
        </w:rPr>
        <w:t xml:space="preserve"> </w:t>
      </w:r>
      <w:r>
        <w:rPr>
          <w:rFonts w:hint="eastAsia" w:asciiTheme="minorEastAsia" w:hAnsiTheme="minorEastAsia"/>
          <w:sz w:val="24"/>
          <w:szCs w:val="24"/>
        </w:rPr>
        <w:t>新进教师须获得高校教师岗前培训和学校教师技能培训合格证书，方可办理高校教师资格证书。</w:t>
      </w:r>
      <w:r>
        <w:rPr>
          <w:rFonts w:asciiTheme="minorEastAsia" w:hAnsiTheme="minorEastAsia"/>
          <w:sz w:val="24"/>
          <w:szCs w:val="24"/>
        </w:rPr>
        <w:t xml:space="preserve"> </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第五条 </w:t>
      </w:r>
      <w:r>
        <w:rPr>
          <w:rFonts w:asciiTheme="minorEastAsia" w:hAnsiTheme="minorEastAsia"/>
          <w:sz w:val="24"/>
          <w:szCs w:val="24"/>
        </w:rPr>
        <w:t xml:space="preserve"> </w:t>
      </w:r>
      <w:r>
        <w:rPr>
          <w:rFonts w:hint="eastAsia" w:asciiTheme="minorEastAsia" w:hAnsiTheme="minorEastAsia"/>
          <w:sz w:val="24"/>
          <w:szCs w:val="24"/>
        </w:rPr>
        <w:t>主讲教师原则上应具有讲师及以上专业技术职务。暂不具备主讲教师资格的，经开课单位评议合格后，在指导教师的指导下，可担任助教教师，协助主讲教师完成教学工作。</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第六条 </w:t>
      </w:r>
      <w:r>
        <w:rPr>
          <w:rFonts w:asciiTheme="minorEastAsia" w:hAnsiTheme="minorEastAsia"/>
          <w:sz w:val="24"/>
          <w:szCs w:val="24"/>
        </w:rPr>
        <w:t xml:space="preserve"> </w:t>
      </w:r>
      <w:r>
        <w:rPr>
          <w:rFonts w:hint="eastAsia" w:asciiTheme="minorEastAsia" w:hAnsiTheme="minorEastAsia"/>
          <w:sz w:val="24"/>
          <w:szCs w:val="24"/>
        </w:rPr>
        <w:t>新开课教师</w:t>
      </w:r>
      <w:bookmarkStart w:id="29" w:name="_Hlk512322769"/>
      <w:r>
        <w:rPr>
          <w:rFonts w:hint="eastAsia" w:asciiTheme="minorEastAsia" w:hAnsiTheme="minorEastAsia"/>
          <w:sz w:val="24"/>
          <w:szCs w:val="24"/>
        </w:rPr>
        <w:t>须经</w:t>
      </w:r>
      <w:bookmarkEnd w:id="29"/>
      <w:r>
        <w:rPr>
          <w:rFonts w:hint="eastAsia" w:asciiTheme="minorEastAsia" w:hAnsiTheme="minorEastAsia"/>
          <w:sz w:val="24"/>
          <w:szCs w:val="24"/>
        </w:rPr>
        <w:t>开课单位评议且合格，填写《内江师范学院新开课申请表》，报教务处审批或备案（其中通识教育选修课程由教务处审批）。</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第七条 </w:t>
      </w:r>
      <w:r>
        <w:rPr>
          <w:rFonts w:asciiTheme="minorEastAsia" w:hAnsiTheme="minorEastAsia"/>
          <w:sz w:val="24"/>
          <w:szCs w:val="24"/>
        </w:rPr>
        <w:t xml:space="preserve"> </w:t>
      </w:r>
      <w:r>
        <w:rPr>
          <w:rFonts w:hint="eastAsia" w:asciiTheme="minorEastAsia" w:hAnsiTheme="minorEastAsia"/>
          <w:sz w:val="24"/>
          <w:szCs w:val="24"/>
        </w:rPr>
        <w:t>教授、副教授每年至少须为本科生讲授一门课程。</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第八条</w:t>
      </w:r>
      <w:r>
        <w:rPr>
          <w:rFonts w:asciiTheme="minorEastAsia" w:hAnsiTheme="minorEastAsia"/>
          <w:sz w:val="24"/>
          <w:szCs w:val="24"/>
        </w:rPr>
        <w:t xml:space="preserve">  </w:t>
      </w:r>
      <w:r>
        <w:rPr>
          <w:rFonts w:hint="eastAsia" w:asciiTheme="minorEastAsia" w:hAnsiTheme="minorEastAsia"/>
          <w:sz w:val="24"/>
          <w:szCs w:val="24"/>
        </w:rPr>
        <w:t>外聘教师一般应具有高校教师资格证书或行业资格证书或中级以上职称，通过二级学院组织的试讲和考核，报教务处审批，人事处备案。</w:t>
      </w: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第三章 </w:t>
      </w:r>
      <w:r>
        <w:rPr>
          <w:rFonts w:asciiTheme="minorEastAsia" w:hAnsiTheme="minorEastAsia"/>
          <w:b/>
          <w:sz w:val="24"/>
          <w:szCs w:val="24"/>
        </w:rPr>
        <w:t xml:space="preserve"> </w:t>
      </w:r>
      <w:r>
        <w:rPr>
          <w:rFonts w:hint="eastAsia" w:asciiTheme="minorEastAsia" w:hAnsiTheme="minorEastAsia"/>
          <w:b/>
          <w:sz w:val="24"/>
          <w:szCs w:val="24"/>
        </w:rPr>
        <w:t>人才培养方案</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第九条 </w:t>
      </w:r>
      <w:r>
        <w:rPr>
          <w:rFonts w:asciiTheme="minorEastAsia" w:hAnsiTheme="minorEastAsia"/>
          <w:sz w:val="24"/>
          <w:szCs w:val="24"/>
        </w:rPr>
        <w:t xml:space="preserve"> </w:t>
      </w:r>
      <w:r>
        <w:rPr>
          <w:rFonts w:hint="eastAsia" w:asciiTheme="minorEastAsia" w:hAnsiTheme="minorEastAsia"/>
          <w:sz w:val="24"/>
          <w:szCs w:val="24"/>
        </w:rPr>
        <w:t>人才培养方案是学校保证教学质量和人才培养规格的重要文件，是组织教学过程、安排教学任务的基本依据。</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第十条 </w:t>
      </w:r>
      <w:r>
        <w:rPr>
          <w:rFonts w:asciiTheme="minorEastAsia" w:hAnsiTheme="minorEastAsia"/>
          <w:sz w:val="24"/>
          <w:szCs w:val="24"/>
        </w:rPr>
        <w:t xml:space="preserve"> </w:t>
      </w:r>
      <w:r>
        <w:rPr>
          <w:rFonts w:hint="eastAsia" w:asciiTheme="minorEastAsia" w:hAnsiTheme="minorEastAsia"/>
          <w:sz w:val="24"/>
          <w:szCs w:val="24"/>
        </w:rPr>
        <w:t>人才培养方案的主要内容包括：培养目标、培养规格、课程体系（含理论教学和实践教学）等，其中，理论教学包括通识教育课程、学科基础课程和专业类课程等。</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第十一条 </w:t>
      </w:r>
      <w:r>
        <w:rPr>
          <w:rFonts w:asciiTheme="minorEastAsia" w:hAnsiTheme="minorEastAsia"/>
          <w:sz w:val="24"/>
          <w:szCs w:val="24"/>
        </w:rPr>
        <w:t xml:space="preserve"> </w:t>
      </w:r>
      <w:r>
        <w:rPr>
          <w:rFonts w:hint="eastAsia" w:asciiTheme="minorEastAsia" w:hAnsiTheme="minorEastAsia"/>
          <w:sz w:val="24"/>
          <w:szCs w:val="24"/>
        </w:rPr>
        <w:t>人才培养方案应保持稳定并适时修订。对正在执行的人才培养方案，原则上不得随意更改。如确需调整，应由二级学院提出调整意见，经二级学院审议，报学校审批通过后，方可执行。</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第十二条 </w:t>
      </w:r>
      <w:r>
        <w:rPr>
          <w:rFonts w:asciiTheme="minorEastAsia" w:hAnsiTheme="minorEastAsia"/>
          <w:sz w:val="24"/>
          <w:szCs w:val="24"/>
        </w:rPr>
        <w:t xml:space="preserve"> </w:t>
      </w:r>
      <w:r>
        <w:rPr>
          <w:rFonts w:hint="eastAsia" w:asciiTheme="minorEastAsia" w:hAnsiTheme="minorEastAsia"/>
          <w:sz w:val="24"/>
          <w:szCs w:val="24"/>
        </w:rPr>
        <w:t>教学大纲是实施教学和考核教学效果的依据。</w:t>
      </w:r>
      <w:bookmarkStart w:id="30" w:name="_Hlk513121168"/>
      <w:r>
        <w:rPr>
          <w:rFonts w:hint="eastAsia" w:asciiTheme="minorEastAsia" w:hAnsiTheme="minorEastAsia"/>
          <w:sz w:val="24"/>
          <w:szCs w:val="24"/>
        </w:rPr>
        <w:t>人才培养方案中的各门课程或实践教学环节，</w:t>
      </w:r>
      <w:bookmarkEnd w:id="30"/>
      <w:r>
        <w:rPr>
          <w:rFonts w:hint="eastAsia" w:asciiTheme="minorEastAsia" w:hAnsiTheme="minorEastAsia"/>
          <w:sz w:val="24"/>
          <w:szCs w:val="24"/>
        </w:rPr>
        <w:t>均应编制教学大纲。教学大纲内容包括：课程性质与教学目标、基本要求、教学重点与难点、学时分配、教学方法、教学内容、参考资料、考核方式等。</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第十三条 </w:t>
      </w:r>
      <w:r>
        <w:rPr>
          <w:rFonts w:asciiTheme="minorEastAsia" w:hAnsiTheme="minorEastAsia"/>
          <w:sz w:val="24"/>
          <w:szCs w:val="24"/>
        </w:rPr>
        <w:t xml:space="preserve"> </w:t>
      </w:r>
      <w:r>
        <w:rPr>
          <w:rFonts w:hint="eastAsia" w:asciiTheme="minorEastAsia" w:hAnsiTheme="minorEastAsia"/>
          <w:sz w:val="24"/>
          <w:szCs w:val="24"/>
        </w:rPr>
        <w:t>教学大纲由开课单位各教研室组织编制，开课单位审核，报学校审批。教学大纲一经审定，任何单位或个人不得擅自更改。</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第十四条 </w:t>
      </w:r>
      <w:r>
        <w:rPr>
          <w:rFonts w:asciiTheme="minorEastAsia" w:hAnsiTheme="minorEastAsia"/>
          <w:sz w:val="24"/>
          <w:szCs w:val="24"/>
        </w:rPr>
        <w:t xml:space="preserve"> </w:t>
      </w:r>
      <w:r>
        <w:rPr>
          <w:rFonts w:hint="eastAsia" w:asciiTheme="minorEastAsia" w:hAnsiTheme="minorEastAsia"/>
          <w:sz w:val="24"/>
          <w:szCs w:val="24"/>
        </w:rPr>
        <w:t>授课计划是开展课程教学的重要依据。任课教师应根据课程教学大纲，认真填写《内江师范学院课程授课计划进度表》。</w:t>
      </w: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第四章 </w:t>
      </w:r>
      <w:r>
        <w:rPr>
          <w:rFonts w:asciiTheme="minorEastAsia" w:hAnsiTheme="minorEastAsia"/>
          <w:b/>
          <w:sz w:val="24"/>
          <w:szCs w:val="24"/>
        </w:rPr>
        <w:t xml:space="preserve"> </w:t>
      </w:r>
      <w:r>
        <w:rPr>
          <w:rFonts w:hint="eastAsia" w:asciiTheme="minorEastAsia" w:hAnsiTheme="minorEastAsia"/>
          <w:b/>
          <w:sz w:val="24"/>
          <w:szCs w:val="24"/>
        </w:rPr>
        <w:t xml:space="preserve">教 </w:t>
      </w:r>
      <w:r>
        <w:rPr>
          <w:rFonts w:asciiTheme="minorEastAsia" w:hAnsiTheme="minorEastAsia"/>
          <w:b/>
          <w:sz w:val="24"/>
          <w:szCs w:val="24"/>
        </w:rPr>
        <w:t xml:space="preserve"> </w:t>
      </w:r>
      <w:r>
        <w:rPr>
          <w:rFonts w:hint="eastAsia" w:asciiTheme="minorEastAsia" w:hAnsiTheme="minorEastAsia"/>
          <w:b/>
          <w:sz w:val="24"/>
          <w:szCs w:val="24"/>
        </w:rPr>
        <w:t>材</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第十五条 </w:t>
      </w:r>
      <w:r>
        <w:rPr>
          <w:rFonts w:asciiTheme="minorEastAsia" w:hAnsiTheme="minorEastAsia"/>
          <w:sz w:val="24"/>
          <w:szCs w:val="24"/>
        </w:rPr>
        <w:t xml:space="preserve"> </w:t>
      </w:r>
      <w:r>
        <w:rPr>
          <w:rFonts w:hint="eastAsia" w:asciiTheme="minorEastAsia" w:hAnsiTheme="minorEastAsia"/>
          <w:sz w:val="24"/>
          <w:szCs w:val="24"/>
        </w:rPr>
        <w:t>课程应根据适用性、科学性和优质性原则，结合专业培养目标和培养要求选用教材。教师自编教材的选用须符合学校教材建设相关规定。</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第十六条 </w:t>
      </w:r>
      <w:r>
        <w:rPr>
          <w:rFonts w:asciiTheme="minorEastAsia" w:hAnsiTheme="minorEastAsia"/>
          <w:sz w:val="24"/>
          <w:szCs w:val="24"/>
        </w:rPr>
        <w:t xml:space="preserve"> </w:t>
      </w:r>
      <w:r>
        <w:rPr>
          <w:rFonts w:hint="eastAsia" w:asciiTheme="minorEastAsia" w:hAnsiTheme="minorEastAsia"/>
          <w:sz w:val="24"/>
          <w:szCs w:val="24"/>
        </w:rPr>
        <w:t>教材选用由开课单位教研室组织，开课单位审核。各开课单位负责人须审查教材预定计划，签字（盖章）后，报教务处审批。</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第十七条 </w:t>
      </w:r>
      <w:r>
        <w:rPr>
          <w:rFonts w:asciiTheme="minorEastAsia" w:hAnsiTheme="minorEastAsia"/>
          <w:sz w:val="24"/>
          <w:szCs w:val="24"/>
        </w:rPr>
        <w:t xml:space="preserve"> </w:t>
      </w:r>
      <w:r>
        <w:rPr>
          <w:rFonts w:hint="eastAsia" w:asciiTheme="minorEastAsia" w:hAnsiTheme="minorEastAsia"/>
          <w:sz w:val="24"/>
          <w:szCs w:val="24"/>
        </w:rPr>
        <w:t>教材征订与发放由教务处统一管理。任何单位或个人不得以任何名义强制学生购买教材和教学辅助材料。</w:t>
      </w:r>
    </w:p>
    <w:p>
      <w:pPr>
        <w:widowControl/>
        <w:snapToGrid w:val="0"/>
        <w:spacing w:line="360" w:lineRule="auto"/>
        <w:ind w:firstLine="482" w:firstLineChars="200"/>
        <w:jc w:val="center"/>
        <w:rPr>
          <w:rFonts w:asciiTheme="minorEastAsia" w:hAnsiTheme="minorEastAsia"/>
          <w:b/>
          <w:bCs/>
          <w:sz w:val="24"/>
          <w:szCs w:val="24"/>
        </w:rPr>
      </w:pPr>
      <w:r>
        <w:rPr>
          <w:rFonts w:hint="eastAsia" w:asciiTheme="minorEastAsia" w:hAnsiTheme="minorEastAsia"/>
          <w:b/>
          <w:bCs/>
          <w:sz w:val="24"/>
          <w:szCs w:val="24"/>
        </w:rPr>
        <w:t>第五章  课堂教学</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 xml:space="preserve">第十八条  </w:t>
      </w:r>
      <w:r>
        <w:rPr>
          <w:rFonts w:hint="eastAsia" w:asciiTheme="minorEastAsia" w:hAnsiTheme="minorEastAsia"/>
          <w:color w:val="000000" w:themeColor="text1"/>
          <w:sz w:val="24"/>
          <w:szCs w:val="24"/>
          <w14:textFill>
            <w14:solidFill>
              <w14:schemeClr w14:val="tx1"/>
            </w14:solidFill>
          </w14:textFill>
        </w:rPr>
        <w:t>课堂教学是人才培养的主阵地，是立德树人的关键环节，教师是课堂教学的主导者。教师要忠于党和人民的教育事业，教书育人，锐意创新，牢固树立“课程思政”理念，探索“知识传授与价值引领相结合”的有效路径，以渊博的知识陶冶人、以高尚的情操塑造人、以健康的心灵影响人。始终把思</w:t>
      </w:r>
      <w:r>
        <w:rPr>
          <w:rFonts w:hint="eastAsia" w:asciiTheme="minorEastAsia" w:hAnsiTheme="minorEastAsia"/>
          <w:sz w:val="24"/>
          <w:szCs w:val="24"/>
        </w:rPr>
        <w:t>想政治教育、创新创业教育纳入教育教学全过程，切实肩负起加强课堂教学管理和提高教学质量的主体责任。</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第十九条  课堂教学是学生获取知识的主要途径，是构建专业知识体系的基础，</w:t>
      </w:r>
      <w:r>
        <w:rPr>
          <w:rFonts w:asciiTheme="minorEastAsia" w:hAnsiTheme="minorEastAsia"/>
          <w:sz w:val="24"/>
          <w:szCs w:val="24"/>
        </w:rPr>
        <w:t>是保证教学质量的关键</w:t>
      </w:r>
      <w:r>
        <w:rPr>
          <w:rFonts w:hint="eastAsia" w:asciiTheme="minorEastAsia" w:hAnsiTheme="minorEastAsia"/>
          <w:sz w:val="24"/>
          <w:szCs w:val="24"/>
        </w:rPr>
        <w:t>。教师教学应坚持“以学生为本”的原则，了解所授课程在培养方案中的地位和作用，根据教学大纲安排教学内容，采用适合学生学习的教学手段和教学方法，及时传达学科前沿信息。</w:t>
      </w:r>
      <w:r>
        <w:rPr>
          <w:rFonts w:asciiTheme="minorEastAsia" w:hAnsiTheme="minorEastAsia"/>
          <w:color w:val="FF0000"/>
          <w:sz w:val="24"/>
          <w:szCs w:val="24"/>
        </w:rPr>
        <w:t xml:space="preserve"> </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第二十条 </w:t>
      </w:r>
      <w:r>
        <w:rPr>
          <w:rFonts w:asciiTheme="minorEastAsia" w:hAnsiTheme="minorEastAsia"/>
          <w:sz w:val="24"/>
          <w:szCs w:val="24"/>
        </w:rPr>
        <w:t xml:space="preserve"> </w:t>
      </w:r>
      <w:r>
        <w:rPr>
          <w:rFonts w:hint="eastAsia" w:asciiTheme="minorEastAsia" w:hAnsiTheme="minorEastAsia"/>
          <w:sz w:val="24"/>
          <w:szCs w:val="24"/>
        </w:rPr>
        <w:t>备课是教学前的重要环节。教</w:t>
      </w:r>
      <w:r>
        <w:rPr>
          <w:rFonts w:asciiTheme="minorEastAsia" w:hAnsiTheme="minorEastAsia"/>
          <w:sz w:val="24"/>
          <w:szCs w:val="24"/>
        </w:rPr>
        <w:t>师要根据教学大纲的要求，认真研究教材、参考文献或资料，准备授课内容，</w:t>
      </w:r>
      <w:r>
        <w:rPr>
          <w:rFonts w:hint="eastAsia" w:asciiTheme="minorEastAsia" w:hAnsiTheme="minorEastAsia"/>
          <w:sz w:val="24"/>
          <w:szCs w:val="24"/>
        </w:rPr>
        <w:t>按要求写出教案，并</w:t>
      </w:r>
      <w:r>
        <w:rPr>
          <w:rFonts w:asciiTheme="minorEastAsia" w:hAnsiTheme="minorEastAsia"/>
          <w:sz w:val="24"/>
          <w:szCs w:val="24"/>
        </w:rPr>
        <w:t>根据学科前沿发展，适时更新</w:t>
      </w:r>
      <w:r>
        <w:rPr>
          <w:rFonts w:hint="eastAsia" w:asciiTheme="minorEastAsia" w:hAnsiTheme="minorEastAsia"/>
          <w:sz w:val="24"/>
          <w:szCs w:val="24"/>
        </w:rPr>
        <w:t>教学</w:t>
      </w:r>
      <w:r>
        <w:rPr>
          <w:rFonts w:asciiTheme="minorEastAsia" w:hAnsiTheme="minorEastAsia"/>
          <w:sz w:val="24"/>
          <w:szCs w:val="24"/>
        </w:rPr>
        <w:t>内容。</w:t>
      </w:r>
      <w:r>
        <w:rPr>
          <w:rFonts w:hint="eastAsia" w:asciiTheme="minorEastAsia" w:hAnsiTheme="minorEastAsia"/>
          <w:sz w:val="24"/>
          <w:szCs w:val="24"/>
        </w:rPr>
        <w:t>开新课教师在上课前须备好该课程全部讲稿或课件；课程组教师应坚持集体备课制度。</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第二十一条 </w:t>
      </w:r>
      <w:r>
        <w:rPr>
          <w:rFonts w:asciiTheme="minorEastAsia" w:hAnsiTheme="minorEastAsia"/>
          <w:sz w:val="24"/>
          <w:szCs w:val="24"/>
        </w:rPr>
        <w:t xml:space="preserve"> </w:t>
      </w:r>
      <w:r>
        <w:rPr>
          <w:rFonts w:hint="eastAsia" w:asciiTheme="minorEastAsia" w:hAnsiTheme="minorEastAsia"/>
          <w:sz w:val="24"/>
          <w:szCs w:val="24"/>
        </w:rPr>
        <w:t>教师对课堂教学的设计、组织、安排以及课堂纪律等教学工作全面负责。</w:t>
      </w:r>
      <w:r>
        <w:rPr>
          <w:rFonts w:asciiTheme="minorEastAsia" w:hAnsiTheme="minorEastAsia"/>
          <w:sz w:val="24"/>
          <w:szCs w:val="24"/>
        </w:rPr>
        <w:t xml:space="preserve"> </w:t>
      </w:r>
    </w:p>
    <w:p>
      <w:pPr>
        <w:spacing w:line="360" w:lineRule="auto"/>
        <w:ind w:firstLine="56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 xml:space="preserve"> 教师进入课堂应注重仪表，衣冠整洁；站立讲授，姿态端正，使用普通话教学；讲课有热情，精神饱满。</w:t>
      </w:r>
    </w:p>
    <w:p>
      <w:pPr>
        <w:spacing w:line="360" w:lineRule="auto"/>
        <w:ind w:firstLine="560"/>
        <w:rPr>
          <w:rFonts w:asciiTheme="minorEastAsia" w:hAnsiTheme="minorEastAsia"/>
          <w:sz w:val="24"/>
          <w:szCs w:val="24"/>
        </w:rPr>
      </w:pPr>
      <w:r>
        <w:rPr>
          <w:rFonts w:asciiTheme="minorEastAsia" w:hAnsiTheme="minorEastAsia"/>
          <w:sz w:val="24"/>
          <w:szCs w:val="24"/>
        </w:rPr>
        <w:t xml:space="preserve">2. </w:t>
      </w:r>
      <w:r>
        <w:rPr>
          <w:rFonts w:hint="eastAsia" w:asciiTheme="minorEastAsia" w:hAnsiTheme="minorEastAsia"/>
          <w:sz w:val="24"/>
          <w:szCs w:val="24"/>
        </w:rPr>
        <w:t>首次课，教师应扼要介绍本课程的教学目标、基本内容、基本教学环节、教学方式和课程考核方式等基本要求。</w:t>
      </w:r>
    </w:p>
    <w:p>
      <w:pPr>
        <w:spacing w:line="360" w:lineRule="auto"/>
        <w:ind w:firstLine="56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 xml:space="preserve"> 教师应严格遵循教学大纲，全面把握教学内容的深度、广度、重点和难点，掌握好教学进度，不得随意减少课时和教学内容。</w:t>
      </w:r>
    </w:p>
    <w:p>
      <w:pPr>
        <w:spacing w:line="360" w:lineRule="auto"/>
        <w:ind w:firstLine="56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课堂教学应概念清晰、阐述准确、条理分明、重点突出；科学性与思想性统一，理论与实践相结合；语言规范、精准流畅，板书简洁清晰、图表正确；采用启发式、探究式和参与式等教学方法，激发学生学习的主动性和积极性。</w:t>
      </w: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第六章 </w:t>
      </w:r>
      <w:r>
        <w:rPr>
          <w:rFonts w:asciiTheme="minorEastAsia" w:hAnsiTheme="minorEastAsia"/>
          <w:b/>
          <w:sz w:val="24"/>
          <w:szCs w:val="24"/>
        </w:rPr>
        <w:t xml:space="preserve"> </w:t>
      </w:r>
      <w:r>
        <w:rPr>
          <w:rFonts w:hint="eastAsia" w:asciiTheme="minorEastAsia" w:hAnsiTheme="minorEastAsia"/>
          <w:b/>
          <w:sz w:val="24"/>
          <w:szCs w:val="24"/>
        </w:rPr>
        <w:t>实践教学</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第二十二条 </w:t>
      </w:r>
      <w:r>
        <w:rPr>
          <w:rFonts w:asciiTheme="minorEastAsia" w:hAnsiTheme="minorEastAsia"/>
          <w:sz w:val="24"/>
          <w:szCs w:val="24"/>
        </w:rPr>
        <w:t xml:space="preserve"> </w:t>
      </w:r>
      <w:r>
        <w:rPr>
          <w:rFonts w:hint="eastAsia" w:asciiTheme="minorEastAsia" w:hAnsiTheme="minorEastAsia"/>
          <w:sz w:val="24"/>
          <w:szCs w:val="24"/>
        </w:rPr>
        <w:t>实践教学是指人才培养方案中规定的课程实验和独立实践性教学环节。</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第二十三条 </w:t>
      </w:r>
      <w:r>
        <w:rPr>
          <w:rFonts w:asciiTheme="minorEastAsia" w:hAnsiTheme="minorEastAsia"/>
          <w:sz w:val="24"/>
          <w:szCs w:val="24"/>
        </w:rPr>
        <w:t xml:space="preserve"> </w:t>
      </w:r>
      <w:r>
        <w:rPr>
          <w:rFonts w:hint="eastAsia" w:asciiTheme="minorEastAsia" w:hAnsiTheme="minorEastAsia"/>
          <w:sz w:val="24"/>
          <w:szCs w:val="24"/>
        </w:rPr>
        <w:t>实验教师应严格按照实验教学大纲要求组织教学，确保实验开出率100%，不得擅自变更或增减实验项目、学时和内容。确需变更的，由实验指导教师提出书面申请，经实验室主任（专业负责人）同意，二级学院审批，报教务处审核通过后，方可执行。</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第二十四条 </w:t>
      </w:r>
      <w:r>
        <w:rPr>
          <w:rFonts w:asciiTheme="minorEastAsia" w:hAnsiTheme="minorEastAsia"/>
          <w:sz w:val="24"/>
          <w:szCs w:val="24"/>
        </w:rPr>
        <w:t xml:space="preserve"> </w:t>
      </w:r>
      <w:r>
        <w:rPr>
          <w:rFonts w:hint="eastAsia" w:asciiTheme="minorEastAsia" w:hAnsiTheme="minorEastAsia"/>
          <w:sz w:val="24"/>
          <w:szCs w:val="24"/>
        </w:rPr>
        <w:t>实验技术人员应做好</w:t>
      </w:r>
      <w:r>
        <w:rPr>
          <w:rFonts w:asciiTheme="minorEastAsia" w:hAnsiTheme="minorEastAsia"/>
          <w:sz w:val="24"/>
          <w:szCs w:val="24"/>
        </w:rPr>
        <w:t>实验物质条件准备</w:t>
      </w:r>
      <w:r>
        <w:rPr>
          <w:rFonts w:hint="eastAsia" w:cs="Arial" w:asciiTheme="minorEastAsia" w:hAnsiTheme="minorEastAsia"/>
          <w:sz w:val="24"/>
          <w:szCs w:val="24"/>
          <w:shd w:val="clear" w:color="auto" w:fill="FFFFFF"/>
        </w:rPr>
        <w:t>，</w:t>
      </w:r>
      <w:r>
        <w:rPr>
          <w:rFonts w:hint="eastAsia" w:asciiTheme="minorEastAsia" w:hAnsiTheme="minorEastAsia"/>
          <w:sz w:val="24"/>
          <w:szCs w:val="24"/>
        </w:rPr>
        <w:t>包括检查、整理、调试仪器设备；准备材料、试剂、元器件、工具，并保证供电、供水、供气线路和通风系统畅通。</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第二十五条 </w:t>
      </w:r>
      <w:r>
        <w:rPr>
          <w:rFonts w:asciiTheme="minorEastAsia" w:hAnsiTheme="minorEastAsia"/>
          <w:sz w:val="24"/>
          <w:szCs w:val="24"/>
        </w:rPr>
        <w:t xml:space="preserve"> </w:t>
      </w:r>
      <w:r>
        <w:rPr>
          <w:rFonts w:hint="eastAsia" w:asciiTheme="minorEastAsia" w:hAnsiTheme="minorEastAsia"/>
          <w:sz w:val="24"/>
          <w:szCs w:val="24"/>
        </w:rPr>
        <w:t>实验教师和实验技术人员必须认真备课，明确实验的目的、要求，熟悉实验原理、方法、步骤及装置。对于新开出的实验和初次担任实验教学的青年教师和实验技术人员，必须试讲、试做，经二级学院考核，达到要求后方可向学生开课。</w:t>
      </w:r>
    </w:p>
    <w:p>
      <w:pPr>
        <w:spacing w:line="360" w:lineRule="auto"/>
        <w:ind w:firstLine="560"/>
        <w:rPr>
          <w:rFonts w:asciiTheme="minorEastAsia" w:hAnsiTheme="minorEastAsia"/>
          <w:sz w:val="24"/>
          <w:szCs w:val="24"/>
        </w:rPr>
      </w:pPr>
      <w:r>
        <w:rPr>
          <w:rFonts w:hint="eastAsia" w:asciiTheme="minorEastAsia" w:hAnsiTheme="minorEastAsia"/>
          <w:sz w:val="24"/>
          <w:szCs w:val="24"/>
        </w:rPr>
        <w:t>第二十六条</w:t>
      </w:r>
      <w:r>
        <w:rPr>
          <w:rFonts w:asciiTheme="minorEastAsia" w:hAnsiTheme="minorEastAsia"/>
          <w:sz w:val="24"/>
          <w:szCs w:val="24"/>
        </w:rPr>
        <w:t xml:space="preserve">  </w:t>
      </w:r>
      <w:r>
        <w:rPr>
          <w:rFonts w:hint="eastAsia" w:asciiTheme="minorEastAsia" w:hAnsiTheme="minorEastAsia"/>
          <w:sz w:val="24"/>
          <w:szCs w:val="24"/>
        </w:rPr>
        <w:t>首次实验课，实验教师应结合实验项目的具体要求向学生宣讲《学生实验守则》和实验室有关规章制度。对违反操作规程者应予教育和指导，对不听教育和指导的学生，教师有权责令其停止实验；对违反规章制度者应予批评，对造成事故者或人为丢失或损坏仪器设备者，应追究其责任，并按学校有关规定处理。</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第二十七条 </w:t>
      </w:r>
      <w:r>
        <w:rPr>
          <w:rFonts w:asciiTheme="minorEastAsia" w:hAnsiTheme="minorEastAsia"/>
          <w:sz w:val="24"/>
          <w:szCs w:val="24"/>
        </w:rPr>
        <w:t xml:space="preserve"> </w:t>
      </w:r>
      <w:r>
        <w:rPr>
          <w:rFonts w:hint="eastAsia" w:asciiTheme="minorEastAsia" w:hAnsiTheme="minorEastAsia"/>
          <w:sz w:val="24"/>
          <w:szCs w:val="24"/>
        </w:rPr>
        <w:t>实验教师应当讲解本次实验的原理、方法、要求和主要仪器设备的原理、结构及使用方法等；使用大型、精密、贵重仪器设备时，教师应加强巡回视导，以确保设备的安全使用。</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第二十八条 </w:t>
      </w:r>
      <w:r>
        <w:rPr>
          <w:rFonts w:asciiTheme="minorEastAsia" w:hAnsiTheme="minorEastAsia"/>
          <w:sz w:val="24"/>
          <w:szCs w:val="24"/>
        </w:rPr>
        <w:t xml:space="preserve"> </w:t>
      </w:r>
      <w:r>
        <w:rPr>
          <w:rFonts w:hint="eastAsia" w:asciiTheme="minorEastAsia" w:hAnsiTheme="minorEastAsia"/>
          <w:sz w:val="24"/>
          <w:szCs w:val="24"/>
        </w:rPr>
        <w:t>实验完成后，实验教师应指导学生按规定断电（水、气）、整理设备、清扫场地。</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第二十九条 </w:t>
      </w:r>
      <w:r>
        <w:rPr>
          <w:rFonts w:asciiTheme="minorEastAsia" w:hAnsiTheme="minorEastAsia"/>
          <w:sz w:val="24"/>
          <w:szCs w:val="24"/>
        </w:rPr>
        <w:t xml:space="preserve"> </w:t>
      </w:r>
      <w:r>
        <w:rPr>
          <w:rFonts w:hint="eastAsia" w:asciiTheme="minorEastAsia" w:hAnsiTheme="minorEastAsia"/>
          <w:sz w:val="24"/>
          <w:szCs w:val="24"/>
        </w:rPr>
        <w:t>指导教师在组织学生外出实践的过程中，应向学生详细讲解该次实践的目的、内容、要求等，强调纪律，严格考勤，保证实践教学内容和过程的有效实施。</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第三十条 </w:t>
      </w:r>
      <w:r>
        <w:rPr>
          <w:rFonts w:asciiTheme="minorEastAsia" w:hAnsiTheme="minorEastAsia"/>
          <w:sz w:val="24"/>
          <w:szCs w:val="24"/>
        </w:rPr>
        <w:t xml:space="preserve"> </w:t>
      </w:r>
      <w:r>
        <w:rPr>
          <w:rFonts w:hint="eastAsia" w:asciiTheme="minorEastAsia" w:hAnsiTheme="minorEastAsia"/>
          <w:sz w:val="24"/>
          <w:szCs w:val="24"/>
        </w:rPr>
        <w:t>指导教师应深入实习基地单位，掌握学生实践进度，了解学生实践情况，对学生在实践过程中遇到的问题和困难进行辅导和答疑。</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第三十一条 </w:t>
      </w:r>
      <w:r>
        <w:rPr>
          <w:rFonts w:asciiTheme="minorEastAsia" w:hAnsiTheme="minorEastAsia"/>
          <w:sz w:val="24"/>
          <w:szCs w:val="24"/>
        </w:rPr>
        <w:t xml:space="preserve"> </w:t>
      </w:r>
      <w:r>
        <w:rPr>
          <w:rFonts w:hint="eastAsia" w:asciiTheme="minorEastAsia" w:hAnsiTheme="minorEastAsia"/>
          <w:sz w:val="24"/>
          <w:szCs w:val="24"/>
        </w:rPr>
        <w:t>指导教师应全面了解毕业论文（设计、创作）工作各环节的具体要求，并对学生进行学术道德和学术规范教育。</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第三十二条 </w:t>
      </w:r>
      <w:r>
        <w:rPr>
          <w:rFonts w:asciiTheme="minorEastAsia" w:hAnsiTheme="minorEastAsia"/>
          <w:sz w:val="24"/>
          <w:szCs w:val="24"/>
        </w:rPr>
        <w:t xml:space="preserve"> </w:t>
      </w:r>
      <w:r>
        <w:rPr>
          <w:rFonts w:hint="eastAsia" w:asciiTheme="minorEastAsia" w:hAnsiTheme="minorEastAsia"/>
          <w:sz w:val="24"/>
          <w:szCs w:val="24"/>
        </w:rPr>
        <w:t>指导教师应指导学生选题并下达任务书，审核学生开题报告，解答学生提出的问题，检查学生的工作进度和质量，指导学生完成毕业论文（设计、创作）并按规范正确撰写，指导学生准备答辩，评定成绩等。</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第七章  课程考核</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第三十三条 </w:t>
      </w:r>
      <w:r>
        <w:rPr>
          <w:rFonts w:asciiTheme="minorEastAsia" w:hAnsiTheme="minorEastAsia"/>
          <w:sz w:val="24"/>
          <w:szCs w:val="24"/>
        </w:rPr>
        <w:t xml:space="preserve"> </w:t>
      </w:r>
      <w:r>
        <w:rPr>
          <w:rFonts w:hint="eastAsia" w:asciiTheme="minorEastAsia" w:hAnsiTheme="minorEastAsia"/>
          <w:sz w:val="24"/>
          <w:szCs w:val="24"/>
        </w:rPr>
        <w:t>课程考核是评定学生学习效果和检查教师教学质量的重要手段。人才培养方案中的各门课程或教学环节，均应按照《内江师范学院课程考核管理办法（修订）》规定进行考核。</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第三十四条 </w:t>
      </w:r>
      <w:r>
        <w:rPr>
          <w:rFonts w:asciiTheme="minorEastAsia" w:hAnsiTheme="minorEastAsia"/>
          <w:sz w:val="24"/>
          <w:szCs w:val="24"/>
        </w:rPr>
        <w:t xml:space="preserve"> </w:t>
      </w:r>
      <w:r>
        <w:rPr>
          <w:rFonts w:hint="eastAsia" w:asciiTheme="minorEastAsia" w:hAnsiTheme="minorEastAsia"/>
          <w:sz w:val="24"/>
          <w:szCs w:val="24"/>
        </w:rPr>
        <w:t>课程考核内容和考核方式应根据考试大纲确定，考核方式包括考试和考查两种。如有特殊情况需变更考核方式的，应在规定时间提出申请，经开课单位审核后，报教务处审批。</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第三十五条 </w:t>
      </w:r>
      <w:r>
        <w:rPr>
          <w:rFonts w:asciiTheme="minorEastAsia" w:hAnsiTheme="minorEastAsia"/>
          <w:sz w:val="24"/>
          <w:szCs w:val="24"/>
        </w:rPr>
        <w:t xml:space="preserve"> </w:t>
      </w:r>
      <w:r>
        <w:rPr>
          <w:rFonts w:hint="eastAsia" w:asciiTheme="minorEastAsia" w:hAnsiTheme="minorEastAsia"/>
          <w:sz w:val="24"/>
          <w:szCs w:val="24"/>
        </w:rPr>
        <w:t>教师应认真负责、公正科学地评阅试卷。阅卷后应当组织复查，发现问题应及时更正。如需对已经评定的分数或统分记录进行修改时，阅卷教师或复查教师应在修改处签名。</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第三十六条 </w:t>
      </w:r>
      <w:r>
        <w:rPr>
          <w:rFonts w:asciiTheme="minorEastAsia" w:hAnsiTheme="minorEastAsia"/>
          <w:sz w:val="24"/>
          <w:szCs w:val="24"/>
        </w:rPr>
        <w:t xml:space="preserve"> </w:t>
      </w:r>
      <w:r>
        <w:rPr>
          <w:rFonts w:hint="eastAsia" w:asciiTheme="minorEastAsia" w:hAnsiTheme="minorEastAsia"/>
          <w:sz w:val="24"/>
          <w:szCs w:val="24"/>
        </w:rPr>
        <w:t>成绩审核与报送。任课教师应在课程考核结束后规定时间内，完成成绩评定与系统录入工作，并将相关纸质材料签字后，交予开课单位。</w:t>
      </w:r>
    </w:p>
    <w:p>
      <w:pPr>
        <w:spacing w:line="360" w:lineRule="auto"/>
        <w:ind w:firstLine="560"/>
        <w:rPr>
          <w:rFonts w:asciiTheme="minorEastAsia" w:hAnsiTheme="minorEastAsia"/>
          <w:sz w:val="24"/>
          <w:szCs w:val="24"/>
        </w:rPr>
      </w:pPr>
      <w:r>
        <w:rPr>
          <w:rFonts w:hint="eastAsia" w:asciiTheme="minorEastAsia" w:hAnsiTheme="minorEastAsia"/>
          <w:sz w:val="24"/>
          <w:szCs w:val="24"/>
        </w:rPr>
        <w:t>第三十七条</w:t>
      </w:r>
      <w:r>
        <w:rPr>
          <w:rFonts w:asciiTheme="minorEastAsia" w:hAnsiTheme="minorEastAsia"/>
          <w:sz w:val="24"/>
          <w:szCs w:val="24"/>
        </w:rPr>
        <w:t xml:space="preserve">  </w:t>
      </w:r>
      <w:r>
        <w:rPr>
          <w:rFonts w:hint="eastAsia" w:asciiTheme="minorEastAsia" w:hAnsiTheme="minorEastAsia"/>
          <w:sz w:val="24"/>
          <w:szCs w:val="24"/>
        </w:rPr>
        <w:t>课程考核成绩一经评卷教师提交，任何人不得擅自更改。如确需修改成绩，应由评卷教师提出书面申请，提交相关材料，经开课单位审核，报教务处审批。</w:t>
      </w:r>
    </w:p>
    <w:p>
      <w:pPr>
        <w:spacing w:line="360" w:lineRule="auto"/>
        <w:jc w:val="center"/>
        <w:rPr>
          <w:rFonts w:asciiTheme="minorEastAsia" w:hAnsiTheme="minorEastAsia"/>
          <w:b/>
          <w:sz w:val="24"/>
          <w:szCs w:val="24"/>
        </w:rPr>
      </w:pPr>
      <w:r>
        <w:rPr>
          <w:rFonts w:hint="eastAsia" w:asciiTheme="minorEastAsia" w:hAnsiTheme="minorEastAsia"/>
          <w:b/>
          <w:sz w:val="24"/>
          <w:szCs w:val="24"/>
        </w:rPr>
        <w:t xml:space="preserve">第八章 </w:t>
      </w:r>
      <w:r>
        <w:rPr>
          <w:rFonts w:asciiTheme="minorEastAsia" w:hAnsiTheme="minorEastAsia"/>
          <w:b/>
          <w:sz w:val="24"/>
          <w:szCs w:val="24"/>
        </w:rPr>
        <w:t xml:space="preserve"> </w:t>
      </w:r>
      <w:r>
        <w:rPr>
          <w:rFonts w:hint="eastAsia" w:asciiTheme="minorEastAsia" w:hAnsiTheme="minorEastAsia"/>
          <w:b/>
          <w:sz w:val="24"/>
          <w:szCs w:val="24"/>
        </w:rPr>
        <w:t>教学工作纪律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第三十八条 </w:t>
      </w:r>
      <w:r>
        <w:rPr>
          <w:rFonts w:asciiTheme="minorEastAsia" w:hAnsiTheme="minorEastAsia"/>
          <w:sz w:val="24"/>
          <w:szCs w:val="24"/>
        </w:rPr>
        <w:t xml:space="preserve"> </w:t>
      </w:r>
      <w:r>
        <w:rPr>
          <w:rFonts w:hint="eastAsia" w:asciiTheme="minorEastAsia" w:hAnsiTheme="minorEastAsia"/>
          <w:sz w:val="24"/>
          <w:szCs w:val="24"/>
        </w:rPr>
        <w:t>教师在课堂教学活动中不得有违反宪法、法律和违背教师职业道德的言行，包括：违反四项基本原则，违反党的路线、方针、政策，损害党和国家的形象与荣誉，破坏国家统一，危害国家安全和社会问题，宣传恐怖主义、分裂主义、极端主义思想，宣传邪教、传播宗教教义、开展宗教活动，宣传迷信思想，违背社会公德、公序良俗，以及有损教师形象的言行等。</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第三十九条 </w:t>
      </w:r>
      <w:r>
        <w:rPr>
          <w:rFonts w:asciiTheme="minorEastAsia" w:hAnsiTheme="minorEastAsia"/>
          <w:sz w:val="24"/>
          <w:szCs w:val="24"/>
        </w:rPr>
        <w:t xml:space="preserve"> </w:t>
      </w:r>
      <w:r>
        <w:rPr>
          <w:rFonts w:hint="eastAsia" w:asciiTheme="minorEastAsia" w:hAnsiTheme="minorEastAsia"/>
          <w:sz w:val="24"/>
          <w:szCs w:val="24"/>
        </w:rPr>
        <w:t>教师是课堂教学与管理的第一责任人，应按学校课程表规定的时间、地点授课，认真组织课堂教学，严格要求学生遵守课堂纪律，</w:t>
      </w:r>
      <w:r>
        <w:rPr>
          <w:rFonts w:asciiTheme="minorEastAsia" w:hAnsiTheme="minorEastAsia"/>
          <w:sz w:val="24"/>
          <w:szCs w:val="24"/>
        </w:rPr>
        <w:t>维护课堂秩序</w:t>
      </w:r>
      <w:r>
        <w:rPr>
          <w:rFonts w:hint="eastAsia" w:asciiTheme="minorEastAsia" w:hAnsiTheme="minorEastAsia"/>
          <w:sz w:val="24"/>
          <w:szCs w:val="24"/>
        </w:rPr>
        <w:t>。</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第四十条 </w:t>
      </w:r>
      <w:r>
        <w:rPr>
          <w:rFonts w:asciiTheme="minorEastAsia" w:hAnsiTheme="minorEastAsia"/>
          <w:sz w:val="24"/>
          <w:szCs w:val="24"/>
        </w:rPr>
        <w:t xml:space="preserve"> </w:t>
      </w:r>
      <w:r>
        <w:rPr>
          <w:rFonts w:hint="eastAsia" w:asciiTheme="minorEastAsia" w:hAnsiTheme="minorEastAsia"/>
          <w:sz w:val="24"/>
          <w:szCs w:val="24"/>
        </w:rPr>
        <w:t>教师应当提前到达教学地点，做好课前准备；不得无故迟到或早退；未经批准，不得擅自调停课或委托他人代课。因特殊原因确需调整时，应严格按照《内江师范学院调课、停课、代课和补课的有关规定（修订）》办理。</w:t>
      </w:r>
    </w:p>
    <w:p>
      <w:pPr>
        <w:spacing w:line="360" w:lineRule="auto"/>
        <w:ind w:firstLine="560"/>
        <w:rPr>
          <w:rFonts w:asciiTheme="minorEastAsia" w:hAnsiTheme="minorEastAsia"/>
          <w:sz w:val="24"/>
          <w:szCs w:val="24"/>
        </w:rPr>
      </w:pPr>
      <w:r>
        <w:rPr>
          <w:rFonts w:hint="eastAsia" w:asciiTheme="minorEastAsia" w:hAnsiTheme="minorEastAsia"/>
          <w:sz w:val="24"/>
          <w:szCs w:val="24"/>
        </w:rPr>
        <w:t xml:space="preserve">第四十一条 </w:t>
      </w:r>
      <w:r>
        <w:rPr>
          <w:rFonts w:asciiTheme="minorEastAsia" w:hAnsiTheme="minorEastAsia"/>
          <w:sz w:val="24"/>
          <w:szCs w:val="24"/>
        </w:rPr>
        <w:t xml:space="preserve"> 教师</w:t>
      </w:r>
      <w:r>
        <w:rPr>
          <w:rFonts w:hint="eastAsia" w:asciiTheme="minorEastAsia" w:hAnsiTheme="minorEastAsia"/>
          <w:sz w:val="24"/>
          <w:szCs w:val="24"/>
        </w:rPr>
        <w:t>应</w:t>
      </w:r>
      <w:r>
        <w:rPr>
          <w:rFonts w:asciiTheme="minorEastAsia" w:hAnsiTheme="minorEastAsia"/>
          <w:sz w:val="24"/>
          <w:szCs w:val="24"/>
        </w:rPr>
        <w:t>自觉维护课堂教学的严肃性，</w:t>
      </w:r>
      <w:r>
        <w:rPr>
          <w:rFonts w:hint="eastAsia" w:asciiTheme="minorEastAsia" w:hAnsiTheme="minorEastAsia"/>
          <w:sz w:val="24"/>
          <w:szCs w:val="24"/>
        </w:rPr>
        <w:t>坚持学术研究无禁区、课堂讲授有纪律。</w:t>
      </w:r>
      <w:r>
        <w:rPr>
          <w:rFonts w:asciiTheme="minorEastAsia" w:hAnsiTheme="minorEastAsia"/>
          <w:sz w:val="24"/>
          <w:szCs w:val="24"/>
        </w:rPr>
        <w:t>在保证教学大纲基本要求的前提下，教师可以讲述自己的学术观点</w:t>
      </w:r>
      <w:r>
        <w:rPr>
          <w:rFonts w:hint="eastAsia" w:asciiTheme="minorEastAsia" w:hAnsiTheme="minorEastAsia"/>
          <w:sz w:val="24"/>
          <w:szCs w:val="24"/>
        </w:rPr>
        <w:t>或</w:t>
      </w:r>
      <w:r>
        <w:rPr>
          <w:rFonts w:asciiTheme="minorEastAsia" w:hAnsiTheme="minorEastAsia"/>
          <w:sz w:val="24"/>
          <w:szCs w:val="24"/>
        </w:rPr>
        <w:t>见解，但不应讲述与</w:t>
      </w:r>
      <w:r>
        <w:rPr>
          <w:rFonts w:hint="eastAsia" w:asciiTheme="minorEastAsia" w:hAnsiTheme="minorEastAsia"/>
          <w:sz w:val="24"/>
          <w:szCs w:val="24"/>
        </w:rPr>
        <w:t>人才培养</w:t>
      </w:r>
      <w:r>
        <w:rPr>
          <w:rFonts w:asciiTheme="minorEastAsia" w:hAnsiTheme="minorEastAsia"/>
          <w:sz w:val="24"/>
          <w:szCs w:val="24"/>
        </w:rPr>
        <w:t>无关的内容</w:t>
      </w:r>
      <w:r>
        <w:rPr>
          <w:rFonts w:hint="eastAsia" w:asciiTheme="minorEastAsia" w:hAnsiTheme="minorEastAsia"/>
          <w:sz w:val="24"/>
          <w:szCs w:val="24"/>
        </w:rPr>
        <w:t>。</w:t>
      </w:r>
    </w:p>
    <w:p>
      <w:pPr>
        <w:spacing w:line="360" w:lineRule="auto"/>
        <w:ind w:firstLine="560"/>
        <w:rPr>
          <w:rFonts w:asciiTheme="minorEastAsia" w:hAnsiTheme="minorEastAsia"/>
          <w:sz w:val="24"/>
          <w:szCs w:val="24"/>
        </w:rPr>
      </w:pPr>
      <w:r>
        <w:rPr>
          <w:rFonts w:hint="eastAsia" w:asciiTheme="minorEastAsia" w:hAnsiTheme="minorEastAsia"/>
          <w:sz w:val="24"/>
          <w:szCs w:val="24"/>
        </w:rPr>
        <w:t>第四十二条</w:t>
      </w:r>
      <w:r>
        <w:rPr>
          <w:rFonts w:hint="eastAsia" w:asciiTheme="minorEastAsia" w:hAnsiTheme="minorEastAsia"/>
          <w:bCs/>
          <w:sz w:val="24"/>
          <w:szCs w:val="24"/>
        </w:rPr>
        <w:t xml:space="preserve">  </w:t>
      </w:r>
      <w:r>
        <w:rPr>
          <w:rFonts w:hint="eastAsia" w:asciiTheme="minorEastAsia" w:hAnsiTheme="minorEastAsia"/>
          <w:sz w:val="24"/>
          <w:szCs w:val="24"/>
        </w:rPr>
        <w:t>教学检查是教学质量保障的重要方式。学校应建立校院两级教学运行检查机制，定期不定期开展教学检查工作，对教学检查中存在的问题提出整改意见并持续跟进。</w:t>
      </w:r>
    </w:p>
    <w:p>
      <w:pPr>
        <w:spacing w:line="360" w:lineRule="auto"/>
        <w:ind w:firstLine="560"/>
        <w:rPr>
          <w:rFonts w:asciiTheme="minorEastAsia" w:hAnsiTheme="minorEastAsia"/>
          <w:sz w:val="24"/>
          <w:szCs w:val="24"/>
        </w:rPr>
      </w:pPr>
      <w:r>
        <w:rPr>
          <w:rFonts w:hint="eastAsia" w:asciiTheme="minorEastAsia" w:hAnsiTheme="minorEastAsia"/>
          <w:sz w:val="24"/>
          <w:szCs w:val="24"/>
        </w:rPr>
        <w:t>第四十三条</w:t>
      </w:r>
      <w:r>
        <w:rPr>
          <w:rFonts w:hint="eastAsia" w:asciiTheme="minorEastAsia" w:hAnsiTheme="minorEastAsia"/>
          <w:bCs/>
          <w:sz w:val="24"/>
          <w:szCs w:val="24"/>
        </w:rPr>
        <w:t xml:space="preserve">  </w:t>
      </w:r>
      <w:r>
        <w:rPr>
          <w:rFonts w:hint="eastAsia" w:asciiTheme="minorEastAsia" w:hAnsiTheme="minorEastAsia"/>
          <w:sz w:val="24"/>
          <w:szCs w:val="24"/>
        </w:rPr>
        <w:t>教师发生教学事故，依据《内江师范学院教学责任事故认定与处理办法（修订）》予以处理。</w:t>
      </w:r>
    </w:p>
    <w:p>
      <w:pPr>
        <w:spacing w:line="360" w:lineRule="auto"/>
        <w:jc w:val="center"/>
        <w:rPr>
          <w:rFonts w:asciiTheme="minorEastAsia" w:hAnsiTheme="minorEastAsia"/>
          <w:b/>
          <w:sz w:val="24"/>
          <w:szCs w:val="24"/>
        </w:rPr>
      </w:pPr>
      <w:r>
        <w:rPr>
          <w:rFonts w:hint="eastAsia" w:asciiTheme="minorEastAsia" w:hAnsiTheme="minorEastAsia"/>
          <w:b/>
          <w:sz w:val="24"/>
          <w:szCs w:val="24"/>
        </w:rPr>
        <w:t>第九章  附  则</w:t>
      </w:r>
    </w:p>
    <w:p>
      <w:pPr>
        <w:spacing w:line="360" w:lineRule="auto"/>
        <w:ind w:firstLine="560"/>
        <w:rPr>
          <w:rFonts w:asciiTheme="minorEastAsia" w:hAnsiTheme="minorEastAsia"/>
          <w:sz w:val="24"/>
          <w:szCs w:val="24"/>
        </w:rPr>
      </w:pPr>
      <w:r>
        <w:rPr>
          <w:rFonts w:hint="eastAsia" w:asciiTheme="minorEastAsia" w:hAnsiTheme="minorEastAsia"/>
          <w:sz w:val="24"/>
          <w:szCs w:val="24"/>
        </w:rPr>
        <w:t>第四十四条  本规范从公布之日起执行，由教务处负责解释。原《内江师范学院教师教学工作规范》（内师教字〔2006〕320号）、《内江师范学院教学计划管理规定》（内师教字〔2006〕273号）、《内江师范学院制定（修订）教学大纲的规定》（内师教发〔2006〕272号）和《内江师范学院教学检查制度》（内师教发〔2006〕274号）同时废止。</w:t>
      </w:r>
    </w:p>
    <w:p>
      <w:pPr>
        <w:spacing w:line="360" w:lineRule="auto"/>
        <w:ind w:firstLine="560"/>
        <w:rPr>
          <w:rFonts w:asciiTheme="minorEastAsia" w:hAnsiTheme="minorEastAsia"/>
          <w:sz w:val="24"/>
          <w:szCs w:val="24"/>
        </w:rPr>
      </w:pPr>
    </w:p>
    <w:p>
      <w:pPr>
        <w:spacing w:line="360" w:lineRule="auto"/>
        <w:ind w:firstLine="560"/>
        <w:rPr>
          <w:rFonts w:asciiTheme="minorEastAsia" w:hAnsiTheme="minorEastAsia"/>
          <w:sz w:val="24"/>
          <w:szCs w:val="24"/>
        </w:rPr>
      </w:pPr>
    </w:p>
    <w:p>
      <w:pPr>
        <w:spacing w:line="360" w:lineRule="auto"/>
        <w:ind w:firstLine="560"/>
        <w:rPr>
          <w:rFonts w:asciiTheme="minorEastAsia" w:hAnsiTheme="minorEastAsia"/>
          <w:sz w:val="24"/>
          <w:szCs w:val="24"/>
        </w:rPr>
      </w:pPr>
    </w:p>
    <w:p>
      <w:pPr>
        <w:spacing w:line="360" w:lineRule="auto"/>
        <w:ind w:firstLine="560"/>
        <w:jc w:val="right"/>
        <w:rPr>
          <w:rFonts w:asciiTheme="minorEastAsia" w:hAnsiTheme="minorEastAsia"/>
          <w:sz w:val="24"/>
          <w:szCs w:val="24"/>
        </w:rPr>
      </w:pPr>
      <w:r>
        <w:rPr>
          <w:rFonts w:hint="eastAsia" w:asciiTheme="minorEastAsia" w:hAnsiTheme="minorEastAsia"/>
          <w:sz w:val="24"/>
          <w:szCs w:val="24"/>
        </w:rPr>
        <w:t>2018年5月18日</w:t>
      </w:r>
    </w:p>
    <w:p>
      <w:pPr>
        <w:wordWrap w:val="0"/>
        <w:spacing w:line="360" w:lineRule="auto"/>
        <w:ind w:firstLine="560"/>
        <w:jc w:val="right"/>
        <w:rPr>
          <w:rFonts w:asciiTheme="minorEastAsia" w:hAnsiTheme="minorEastAsia"/>
          <w:sz w:val="24"/>
          <w:szCs w:val="24"/>
        </w:rPr>
      </w:pPr>
      <w:r>
        <w:rPr>
          <w:rFonts w:asciiTheme="minorEastAsia" w:hAnsiTheme="minorEastAsia"/>
          <w:sz w:val="24"/>
          <w:szCs w:val="24"/>
        </w:rPr>
        <w:t xml:space="preserve">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jc w:val="center"/>
        <w:rPr>
          <w:rFonts w:cs="宋体" w:asciiTheme="majorEastAsia" w:hAnsiTheme="majorEastAsia" w:eastAsiaTheme="majorEastAsia"/>
          <w:b/>
          <w:w w:val="90"/>
          <w:kern w:val="0"/>
          <w:sz w:val="32"/>
          <w:szCs w:val="32"/>
        </w:rPr>
      </w:pPr>
      <w:r>
        <w:rPr>
          <w:rFonts w:hint="eastAsia" w:cs="宋体" w:asciiTheme="majorEastAsia" w:hAnsiTheme="majorEastAsia" w:eastAsiaTheme="majorEastAsia"/>
          <w:b/>
          <w:w w:val="90"/>
          <w:kern w:val="0"/>
          <w:sz w:val="32"/>
          <w:szCs w:val="32"/>
        </w:rPr>
        <w:t>内江师范学院</w:t>
      </w:r>
    </w:p>
    <w:p>
      <w:pPr>
        <w:widowControl/>
        <w:spacing w:line="560" w:lineRule="exact"/>
        <w:jc w:val="center"/>
        <w:rPr>
          <w:rFonts w:cs="宋体" w:asciiTheme="majorEastAsia" w:hAnsiTheme="majorEastAsia" w:eastAsiaTheme="majorEastAsia"/>
          <w:b/>
          <w:w w:val="90"/>
          <w:kern w:val="0"/>
          <w:sz w:val="32"/>
          <w:szCs w:val="32"/>
        </w:rPr>
      </w:pPr>
      <w:r>
        <w:rPr>
          <w:rFonts w:hint="eastAsia" w:cs="宋体" w:asciiTheme="majorEastAsia" w:hAnsiTheme="majorEastAsia" w:eastAsiaTheme="majorEastAsia"/>
          <w:b/>
          <w:w w:val="90"/>
          <w:kern w:val="0"/>
          <w:sz w:val="32"/>
          <w:szCs w:val="32"/>
        </w:rPr>
        <w:t>授课计划进度的编制与管理规定（修订）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内师教字〔2015〕50号</w:t>
      </w:r>
    </w:p>
    <w:p>
      <w:pPr>
        <w:widowControl/>
        <w:spacing w:line="560" w:lineRule="exact"/>
        <w:jc w:val="center"/>
        <w:rPr>
          <w:rFonts w:cs="宋体" w:asciiTheme="majorEastAsia" w:hAnsiTheme="majorEastAsia" w:eastAsiaTheme="majorEastAsia"/>
          <w:b/>
          <w:kern w:val="0"/>
          <w:sz w:val="30"/>
          <w:szCs w:val="30"/>
        </w:rPr>
      </w:pPr>
    </w:p>
    <w:p>
      <w:pPr>
        <w:widowControl/>
        <w:wordWrap w:val="0"/>
        <w:spacing w:line="360" w:lineRule="auto"/>
        <w:ind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为进一步强化教学管理，规范教学的基本环节，有效实施教学过程管理与监控，特制定授课计划进度管理规定。</w:t>
      </w:r>
    </w:p>
    <w:p>
      <w:pPr>
        <w:widowControl/>
        <w:wordWrap w:val="0"/>
        <w:spacing w:line="360" w:lineRule="auto"/>
        <w:ind w:firstLine="482" w:firstLineChars="200"/>
        <w:jc w:val="left"/>
        <w:textAlignment w:val="baseline"/>
        <w:rPr>
          <w:rFonts w:cs="宋体" w:asciiTheme="minorEastAsia" w:hAnsiTheme="minorEastAsia"/>
          <w:b/>
          <w:kern w:val="0"/>
          <w:sz w:val="24"/>
          <w:szCs w:val="24"/>
        </w:rPr>
      </w:pPr>
      <w:r>
        <w:rPr>
          <w:rFonts w:hint="eastAsia" w:cs="宋体" w:asciiTheme="minorEastAsia" w:hAnsiTheme="minorEastAsia"/>
          <w:b/>
          <w:kern w:val="0"/>
          <w:sz w:val="24"/>
          <w:szCs w:val="24"/>
        </w:rPr>
        <w:t>一、授课计划进度的编制</w:t>
      </w:r>
    </w:p>
    <w:p>
      <w:pPr>
        <w:widowControl/>
        <w:wordWrap w:val="0"/>
        <w:spacing w:line="360" w:lineRule="auto"/>
        <w:ind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1.授课计划进度是任课教师基于教学大纲编制的</w:t>
      </w:r>
      <w:r>
        <w:rPr>
          <w:rFonts w:hint="eastAsia" w:asciiTheme="minorEastAsia" w:hAnsiTheme="minorEastAsia"/>
          <w:sz w:val="24"/>
          <w:szCs w:val="24"/>
        </w:rPr>
        <w:t>学期课程教学工作的具体内容安排和进度实施计划的总称</w:t>
      </w:r>
      <w:r>
        <w:rPr>
          <w:rFonts w:hint="eastAsia" w:cs="宋体" w:asciiTheme="minorEastAsia" w:hAnsiTheme="minorEastAsia"/>
          <w:kern w:val="0"/>
          <w:sz w:val="24"/>
          <w:szCs w:val="24"/>
        </w:rPr>
        <w:t>，是任课教师实施教学过程的重要依据。</w:t>
      </w:r>
    </w:p>
    <w:p>
      <w:pPr>
        <w:widowControl/>
        <w:wordWrap w:val="0"/>
        <w:spacing w:line="360" w:lineRule="auto"/>
        <w:ind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2.授课计划进度也是教学管理机构进行教学管理与监控的重要依据，是学校组织听课、评教时所依据的重要内容。</w:t>
      </w:r>
    </w:p>
    <w:p>
      <w:pPr>
        <w:widowControl/>
        <w:wordWrap w:val="0"/>
        <w:spacing w:line="360" w:lineRule="auto"/>
        <w:ind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3.编制授课计划进度的目的，在于使教师合理地分配教学时间，确保预定教学任务的顺利完成。其内容主要包括：知识点、学时、课型。</w:t>
      </w:r>
    </w:p>
    <w:p>
      <w:pPr>
        <w:widowControl/>
        <w:wordWrap w:val="0"/>
        <w:spacing w:line="360" w:lineRule="auto"/>
        <w:ind w:left="-2" w:leftChars="-1"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 xml:space="preserve">4.任课教师在接到教学任务后，应认真编写授课计划进度，明确教学内容、进程与安排。授课计划进度中的教学内容安排要具体、明确，并具有可行性。 </w:t>
      </w:r>
    </w:p>
    <w:p>
      <w:pPr>
        <w:widowControl/>
        <w:wordWrap w:val="0"/>
        <w:spacing w:line="360" w:lineRule="auto"/>
        <w:ind w:left="1"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5.授课计划进度一经编定并通过教研室审查，任课教师即应按照授课计划进度的安排与进度组织教学。一般情况下，任课教师在教学过程中不应随意调整、变更授课计划进度中的安排。确需调整、变更时，应报教研室、院（部）审批。</w:t>
      </w:r>
    </w:p>
    <w:p>
      <w:pPr>
        <w:widowControl/>
        <w:wordWrap w:val="0"/>
        <w:spacing w:line="360" w:lineRule="auto"/>
        <w:ind w:firstLine="482" w:firstLineChars="200"/>
        <w:jc w:val="left"/>
        <w:textAlignment w:val="baseline"/>
        <w:rPr>
          <w:rFonts w:cs="宋体" w:asciiTheme="minorEastAsia" w:hAnsiTheme="minorEastAsia"/>
          <w:b/>
          <w:kern w:val="0"/>
          <w:sz w:val="24"/>
          <w:szCs w:val="24"/>
        </w:rPr>
      </w:pPr>
      <w:r>
        <w:rPr>
          <w:rFonts w:hint="eastAsia" w:cs="宋体" w:asciiTheme="minorEastAsia" w:hAnsiTheme="minorEastAsia"/>
          <w:b/>
          <w:kern w:val="0"/>
          <w:sz w:val="24"/>
          <w:szCs w:val="24"/>
        </w:rPr>
        <w:t>二、授课计划进度管理</w:t>
      </w:r>
    </w:p>
    <w:p>
      <w:pPr>
        <w:widowControl/>
        <w:wordWrap w:val="0"/>
        <w:spacing w:line="360" w:lineRule="auto"/>
        <w:ind w:firstLine="480" w:firstLineChars="20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授课计划进度由承担教学任务的教师编写。教研室主任审核同意后，报教学单位分管教学院长（主任）审核，审核同意后留所在教学单位存档，并将电子文档于开课后三周内在开课单位网页教学管理栏目中公布。</w:t>
      </w:r>
    </w:p>
    <w:p>
      <w:pPr>
        <w:widowControl/>
        <w:wordWrap w:val="0"/>
        <w:spacing w:line="360" w:lineRule="auto"/>
        <w:ind w:firstLine="482" w:firstLineChars="200"/>
        <w:jc w:val="left"/>
        <w:textAlignment w:val="baseline"/>
        <w:rPr>
          <w:rFonts w:cs="宋体" w:asciiTheme="minorEastAsia" w:hAnsiTheme="minorEastAsia"/>
          <w:b/>
          <w:kern w:val="0"/>
          <w:sz w:val="24"/>
          <w:szCs w:val="24"/>
        </w:rPr>
      </w:pPr>
      <w:r>
        <w:rPr>
          <w:rFonts w:hint="eastAsia" w:cs="宋体" w:asciiTheme="minorEastAsia" w:hAnsiTheme="minorEastAsia"/>
          <w:b/>
          <w:kern w:val="0"/>
          <w:sz w:val="24"/>
          <w:szCs w:val="24"/>
        </w:rPr>
        <w:t>三、本规定自发布之日起实施，由教务处负责解释。</w:t>
      </w:r>
    </w:p>
    <w:p>
      <w:pPr>
        <w:spacing w:line="360" w:lineRule="auto"/>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附件：内江师范学院课程授课计划进度表</w:t>
      </w: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 xml:space="preserve">  2015年5月20日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660" w:lineRule="exact"/>
        <w:jc w:val="left"/>
        <w:rPr>
          <w:rFonts w:ascii="方正大黑简体" w:hAnsi="黑体" w:eastAsia="方正大黑简体" w:cs="宋体"/>
          <w:color w:val="000000"/>
          <w:kern w:val="0"/>
          <w:sz w:val="28"/>
          <w:szCs w:val="28"/>
        </w:rPr>
      </w:pPr>
    </w:p>
    <w:p>
      <w:pPr>
        <w:spacing w:line="660" w:lineRule="exact"/>
        <w:jc w:val="left"/>
        <w:rPr>
          <w:rFonts w:ascii="方正大黑简体" w:hAnsi="黑体" w:eastAsia="方正大黑简体" w:cs="宋体"/>
          <w:color w:val="000000"/>
          <w:kern w:val="0"/>
          <w:sz w:val="28"/>
          <w:szCs w:val="28"/>
        </w:rPr>
      </w:pPr>
      <w:r>
        <w:rPr>
          <w:rFonts w:ascii="方正大黑简体" w:hAnsi="黑体" w:eastAsia="方正大黑简体" w:cs="宋体"/>
          <w:color w:val="000000"/>
          <w:kern w:val="0"/>
          <w:sz w:val="28"/>
          <w:szCs w:val="28"/>
        </w:rPr>
        <w:t>附件</w:t>
      </w:r>
    </w:p>
    <w:p>
      <w:pPr>
        <w:spacing w:line="660" w:lineRule="exact"/>
        <w:jc w:val="center"/>
        <w:rPr>
          <w:rFonts w:ascii="方正大黑简体" w:eastAsia="方正大黑简体"/>
          <w:sz w:val="32"/>
          <w:szCs w:val="32"/>
        </w:rPr>
      </w:pPr>
      <w:r>
        <w:rPr>
          <w:rFonts w:hint="eastAsia" w:ascii="方正大黑简体" w:hAnsi="黑体" w:eastAsia="方正大黑简体" w:cs="宋体"/>
          <w:color w:val="000000"/>
          <w:kern w:val="0"/>
          <w:sz w:val="32"/>
          <w:szCs w:val="32"/>
        </w:rPr>
        <w:t>内江师范学院</w:t>
      </w:r>
      <w:r>
        <w:rPr>
          <w:rFonts w:hint="eastAsia" w:ascii="方正大黑简体" w:hAnsi="黑体" w:eastAsia="方正大黑简体" w:cs="宋体"/>
          <w:color w:val="000000"/>
          <w:kern w:val="0"/>
          <w:sz w:val="32"/>
          <w:szCs w:val="32"/>
          <w:u w:val="single"/>
        </w:rPr>
        <w:t xml:space="preserve">      </w:t>
      </w:r>
      <w:r>
        <w:rPr>
          <w:rFonts w:hint="eastAsia" w:ascii="方正大黑简体" w:hAnsi="黑体" w:eastAsia="方正大黑简体" w:cs="宋体"/>
          <w:color w:val="000000"/>
          <w:kern w:val="0"/>
          <w:sz w:val="32"/>
          <w:szCs w:val="32"/>
        </w:rPr>
        <w:t>～</w:t>
      </w:r>
      <w:r>
        <w:rPr>
          <w:rFonts w:hint="eastAsia" w:ascii="方正大黑简体" w:hAnsi="黑体" w:eastAsia="方正大黑简体" w:cs="宋体"/>
          <w:color w:val="000000"/>
          <w:kern w:val="0"/>
          <w:sz w:val="32"/>
          <w:szCs w:val="32"/>
          <w:u w:val="single"/>
        </w:rPr>
        <w:t xml:space="preserve">      </w:t>
      </w:r>
      <w:r>
        <w:rPr>
          <w:rFonts w:hint="eastAsia" w:ascii="方正大黑简体" w:hAnsi="黑体" w:eastAsia="方正大黑简体" w:cs="宋体"/>
          <w:color w:val="000000"/>
          <w:kern w:val="0"/>
          <w:sz w:val="32"/>
          <w:szCs w:val="32"/>
        </w:rPr>
        <w:t>学年第</w:t>
      </w:r>
      <w:r>
        <w:rPr>
          <w:rFonts w:hint="eastAsia" w:ascii="方正大黑简体" w:hAnsi="黑体" w:eastAsia="方正大黑简体" w:cs="宋体"/>
          <w:color w:val="000000"/>
          <w:kern w:val="0"/>
          <w:sz w:val="32"/>
          <w:szCs w:val="32"/>
          <w:u w:val="single"/>
        </w:rPr>
        <w:t xml:space="preserve">    </w:t>
      </w:r>
      <w:r>
        <w:rPr>
          <w:rFonts w:hint="eastAsia" w:ascii="方正大黑简体" w:hAnsi="黑体" w:eastAsia="方正大黑简体" w:cs="宋体"/>
          <w:color w:val="000000"/>
          <w:kern w:val="0"/>
          <w:sz w:val="32"/>
          <w:szCs w:val="32"/>
        </w:rPr>
        <w:t>学期</w:t>
      </w:r>
    </w:p>
    <w:p>
      <w:pPr>
        <w:spacing w:line="660" w:lineRule="exact"/>
        <w:jc w:val="center"/>
        <w:rPr>
          <w:rFonts w:ascii="方正大黑简体" w:eastAsia="方正大黑简体"/>
          <w:sz w:val="32"/>
          <w:szCs w:val="32"/>
        </w:rPr>
      </w:pPr>
      <w:r>
        <w:rPr>
          <w:rFonts w:hint="eastAsia" w:ascii="方正大黑简体" w:hAnsi="黑体" w:eastAsia="方正大黑简体" w:cs="宋体"/>
          <w:color w:val="000000"/>
          <w:kern w:val="0"/>
          <w:sz w:val="32"/>
          <w:szCs w:val="32"/>
        </w:rPr>
        <w:t>《            》课程授课计划进度表</w:t>
      </w:r>
    </w:p>
    <w:p/>
    <w:p>
      <w:r>
        <w:rPr>
          <w:rFonts w:hint="eastAsia" w:ascii="宋体" w:hAnsi="宋体" w:cs="宋体"/>
          <w:b/>
          <w:bCs/>
          <w:color w:val="000000"/>
          <w:kern w:val="0"/>
          <w:sz w:val="24"/>
        </w:rPr>
        <w:t>开课单位：</w:t>
      </w:r>
      <w:r>
        <w:rPr>
          <w:rFonts w:hint="eastAsia" w:ascii="宋体" w:hAnsi="宋体" w:cs="宋体"/>
          <w:b/>
          <w:bCs/>
          <w:color w:val="000000"/>
          <w:kern w:val="0"/>
          <w:sz w:val="24"/>
          <w:u w:val="single"/>
        </w:rPr>
        <w:t xml:space="preserve">                    </w:t>
      </w:r>
    </w:p>
    <w:p>
      <w:pPr>
        <w:spacing w:line="480" w:lineRule="exact"/>
      </w:pPr>
      <w:r>
        <w:rPr>
          <w:rFonts w:hint="eastAsia" w:ascii="宋体" w:hAnsi="宋体" w:cs="宋体"/>
          <w:b/>
          <w:bCs/>
          <w:color w:val="000000"/>
          <w:kern w:val="0"/>
          <w:sz w:val="24"/>
        </w:rPr>
        <w:t>授课专业及班级：</w:t>
      </w:r>
      <w:r>
        <w:rPr>
          <w:rFonts w:hint="eastAsia" w:ascii="宋体" w:hAnsi="宋体" w:cs="宋体"/>
          <w:color w:val="000000"/>
          <w:kern w:val="0"/>
          <w:sz w:val="24"/>
          <w:u w:val="single"/>
        </w:rPr>
        <w:t xml:space="preserve">            </w:t>
      </w:r>
      <w:r>
        <w:rPr>
          <w:rFonts w:hint="eastAsia" w:ascii="宋体" w:hAnsi="宋体" w:cs="宋体"/>
          <w:color w:val="000000"/>
          <w:kern w:val="0"/>
          <w:sz w:val="24"/>
        </w:rPr>
        <w:t>专业</w:t>
      </w:r>
      <w:r>
        <w:rPr>
          <w:rFonts w:hint="eastAsia" w:ascii="宋体" w:hAnsi="宋体" w:cs="宋体"/>
          <w:color w:val="000000"/>
          <w:kern w:val="0"/>
          <w:sz w:val="24"/>
          <w:u w:val="single"/>
        </w:rPr>
        <w:t xml:space="preserve">      </w:t>
      </w:r>
      <w:r>
        <w:rPr>
          <w:rFonts w:hint="eastAsia" w:ascii="宋体" w:hAnsi="宋体" w:cs="宋体"/>
          <w:color w:val="000000"/>
          <w:kern w:val="0"/>
          <w:sz w:val="24"/>
        </w:rPr>
        <w:t>级</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班 </w:t>
      </w:r>
      <w:r>
        <w:rPr>
          <w:rFonts w:hint="eastAsia" w:ascii="宋体" w:hAnsi="宋体" w:cs="宋体"/>
          <w:b/>
          <w:bCs/>
          <w:color w:val="000000"/>
          <w:kern w:val="0"/>
          <w:sz w:val="24"/>
        </w:rPr>
        <w:t>培养层次：</w:t>
      </w:r>
      <w:r>
        <w:rPr>
          <w:rFonts w:hint="eastAsia" w:ascii="宋体" w:hAnsi="宋体" w:cs="宋体"/>
          <w:b/>
          <w:bCs/>
          <w:color w:val="000000"/>
          <w:kern w:val="0"/>
          <w:sz w:val="24"/>
          <w:u w:val="single"/>
        </w:rPr>
        <w:t xml:space="preserve">  </w:t>
      </w:r>
      <w:r>
        <w:rPr>
          <w:rFonts w:hint="eastAsia" w:ascii="宋体" w:hAnsi="宋体" w:cs="宋体"/>
          <w:color w:val="000000"/>
          <w:kern w:val="0"/>
          <w:sz w:val="22"/>
          <w:u w:val="single"/>
        </w:rPr>
        <w:t xml:space="preserve">本（专）科  </w:t>
      </w:r>
    </w:p>
    <w:p>
      <w:pPr>
        <w:spacing w:line="480" w:lineRule="exact"/>
      </w:pPr>
      <w:r>
        <w:rPr>
          <w:rFonts w:hint="eastAsia" w:ascii="宋体" w:hAnsi="宋体" w:cs="宋体"/>
          <w:b/>
          <w:bCs/>
          <w:color w:val="000000"/>
          <w:kern w:val="0"/>
          <w:sz w:val="24"/>
        </w:rPr>
        <w:t>任课教师：</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工作部门：</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所属教研室:</w:t>
      </w:r>
      <w:r>
        <w:rPr>
          <w:rFonts w:hint="eastAsia" w:ascii="宋体" w:hAnsi="宋体" w:cs="宋体"/>
          <w:b/>
          <w:bCs/>
          <w:color w:val="000000"/>
          <w:kern w:val="0"/>
          <w:sz w:val="24"/>
          <w:u w:val="single"/>
        </w:rPr>
        <w:t xml:space="preserve">            </w:t>
      </w:r>
    </w:p>
    <w:p>
      <w:pPr>
        <w:spacing w:line="480" w:lineRule="exact"/>
      </w:pPr>
      <w:r>
        <w:rPr>
          <w:rFonts w:hint="eastAsia" w:ascii="宋体" w:hAnsi="宋体" w:cs="宋体"/>
          <w:b/>
          <w:bCs/>
          <w:color w:val="000000"/>
          <w:kern w:val="0"/>
          <w:sz w:val="24"/>
        </w:rPr>
        <w:t>教师职称：</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所学专业：</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现从事专业:</w:t>
      </w:r>
      <w:r>
        <w:rPr>
          <w:rFonts w:hint="eastAsia" w:ascii="宋体" w:hAnsi="宋体" w:cs="宋体"/>
          <w:b/>
          <w:bCs/>
          <w:color w:val="000000"/>
          <w:kern w:val="0"/>
          <w:sz w:val="24"/>
          <w:u w:val="single"/>
        </w:rPr>
        <w:t xml:space="preserve">            </w:t>
      </w:r>
    </w:p>
    <w:p>
      <w:pPr>
        <w:spacing w:line="480" w:lineRule="exact"/>
        <w:rPr>
          <w:u w:val="single"/>
        </w:rPr>
      </w:pPr>
      <w:r>
        <w:rPr>
          <w:rFonts w:hint="eastAsia" w:ascii="宋体" w:hAnsi="宋体" w:cs="宋体"/>
          <w:b/>
          <w:bCs/>
          <w:color w:val="000000"/>
          <w:kern w:val="0"/>
          <w:sz w:val="24"/>
        </w:rPr>
        <w:t>课程性质：</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总学时：</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考核形式：</w:t>
      </w:r>
      <w:r>
        <w:rPr>
          <w:rFonts w:hint="eastAsia" w:ascii="宋体" w:hAnsi="宋体" w:cs="宋体"/>
          <w:b/>
          <w:bCs/>
          <w:color w:val="000000"/>
          <w:kern w:val="0"/>
          <w:sz w:val="24"/>
          <w:u w:val="single"/>
        </w:rPr>
        <w:t xml:space="preserve">   </w:t>
      </w:r>
      <w:r>
        <w:rPr>
          <w:rFonts w:hint="eastAsia" w:ascii="宋体" w:hAnsi="宋体" w:cs="宋体"/>
          <w:color w:val="000000"/>
          <w:kern w:val="0"/>
          <w:sz w:val="24"/>
          <w:u w:val="single"/>
        </w:rPr>
        <w:t xml:space="preserve">考试（考查） </w:t>
      </w:r>
    </w:p>
    <w:p>
      <w:pPr>
        <w:rPr>
          <w:szCs w:val="21"/>
        </w:rPr>
      </w:pPr>
    </w:p>
    <w:tbl>
      <w:tblPr>
        <w:tblStyle w:val="15"/>
        <w:tblW w:w="8933" w:type="dxa"/>
        <w:jc w:val="center"/>
        <w:tblInd w:w="0" w:type="dxa"/>
        <w:tblLayout w:type="fixed"/>
        <w:tblCellMar>
          <w:top w:w="0" w:type="dxa"/>
          <w:left w:w="108" w:type="dxa"/>
          <w:bottom w:w="0" w:type="dxa"/>
          <w:right w:w="108" w:type="dxa"/>
        </w:tblCellMar>
      </w:tblPr>
      <w:tblGrid>
        <w:gridCol w:w="1078"/>
        <w:gridCol w:w="4408"/>
        <w:gridCol w:w="1134"/>
        <w:gridCol w:w="1275"/>
        <w:gridCol w:w="1038"/>
      </w:tblGrid>
      <w:tr>
        <w:tblPrEx>
          <w:tblLayout w:type="fixed"/>
          <w:tblCellMar>
            <w:top w:w="0" w:type="dxa"/>
            <w:left w:w="108" w:type="dxa"/>
            <w:bottom w:w="0" w:type="dxa"/>
            <w:right w:w="108" w:type="dxa"/>
          </w:tblCellMar>
        </w:tblPrEx>
        <w:trPr>
          <w:trHeight w:val="639" w:hRule="atLeast"/>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0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知识点(授课计划进度)</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学时数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课型</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756"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Cs w:val="21"/>
              </w:rPr>
            </w:pPr>
          </w:p>
        </w:tc>
      </w:tr>
      <w:tr>
        <w:tblPrEx>
          <w:tblLayout w:type="fixed"/>
          <w:tblCellMar>
            <w:top w:w="0" w:type="dxa"/>
            <w:left w:w="108" w:type="dxa"/>
            <w:bottom w:w="0" w:type="dxa"/>
            <w:right w:w="108" w:type="dxa"/>
          </w:tblCellMar>
        </w:tblPrEx>
        <w:trPr>
          <w:trHeight w:val="756"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56"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56"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54"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54"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6</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54"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7</w:t>
            </w:r>
          </w:p>
        </w:tc>
        <w:tc>
          <w:tcPr>
            <w:tcW w:w="44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000000"/>
                <w:kern w:val="0"/>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1447" w:hRule="atLeast"/>
          <w:jc w:val="center"/>
        </w:trPr>
        <w:tc>
          <w:tcPr>
            <w:tcW w:w="5486" w:type="dxa"/>
            <w:gridSpan w:val="2"/>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教研室审核意见：</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ind w:firstLine="2381" w:firstLineChars="1134"/>
              <w:jc w:val="left"/>
              <w:rPr>
                <w:rFonts w:ascii="宋体" w:hAnsi="宋体" w:cs="宋体"/>
                <w:color w:val="000000"/>
                <w:kern w:val="0"/>
                <w:szCs w:val="21"/>
              </w:rPr>
            </w:pPr>
            <w:r>
              <w:rPr>
                <w:rFonts w:hint="eastAsia" w:ascii="宋体" w:hAnsi="宋体" w:cs="宋体"/>
                <w:color w:val="000000"/>
                <w:kern w:val="0"/>
                <w:szCs w:val="21"/>
              </w:rPr>
              <w:t>签名：</w:t>
            </w:r>
          </w:p>
          <w:p>
            <w:pPr>
              <w:widowControl/>
              <w:jc w:val="left"/>
              <w:rPr>
                <w:rFonts w:ascii="宋体" w:hAnsi="宋体" w:cs="宋体"/>
                <w:color w:val="000000"/>
                <w:kern w:val="0"/>
                <w:szCs w:val="21"/>
              </w:rPr>
            </w:pPr>
            <w:r>
              <w:rPr>
                <w:rFonts w:hint="eastAsia" w:ascii="宋体" w:hAnsi="宋体" w:cs="宋体"/>
                <w:color w:val="000000"/>
                <w:kern w:val="0"/>
                <w:szCs w:val="21"/>
              </w:rPr>
              <w:t xml:space="preserve">                           年     月     日</w:t>
            </w:r>
          </w:p>
        </w:tc>
        <w:tc>
          <w:tcPr>
            <w:tcW w:w="3447"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院（部）审核意见：</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ind w:firstLine="735" w:firstLineChars="350"/>
              <w:jc w:val="left"/>
              <w:rPr>
                <w:rFonts w:ascii="宋体" w:hAnsi="宋体" w:cs="宋体"/>
                <w:color w:val="000000"/>
                <w:kern w:val="0"/>
                <w:szCs w:val="21"/>
              </w:rPr>
            </w:pPr>
            <w:r>
              <w:rPr>
                <w:rFonts w:hint="eastAsia" w:ascii="宋体" w:hAnsi="宋体" w:cs="宋体"/>
                <w:color w:val="000000"/>
                <w:kern w:val="0"/>
                <w:szCs w:val="21"/>
              </w:rPr>
              <w:t>签名：</w:t>
            </w:r>
          </w:p>
          <w:p>
            <w:pPr>
              <w:widowControl/>
              <w:rPr>
                <w:rFonts w:ascii="宋体" w:hAnsi="宋体" w:cs="宋体"/>
                <w:color w:val="000000"/>
                <w:kern w:val="0"/>
                <w:szCs w:val="21"/>
              </w:rPr>
            </w:pPr>
            <w:r>
              <w:rPr>
                <w:rFonts w:hint="eastAsia" w:ascii="宋体" w:hAnsi="宋体" w:cs="宋体"/>
                <w:color w:val="000000"/>
                <w:kern w:val="0"/>
                <w:szCs w:val="21"/>
              </w:rPr>
              <w:t xml:space="preserve">             年     月     日</w:t>
            </w:r>
          </w:p>
        </w:tc>
      </w:tr>
    </w:tbl>
    <w:p>
      <w:pPr>
        <w:ind w:firstLine="280" w:firstLineChars="100"/>
        <w:rPr>
          <w:rFonts w:ascii="方正仿宋简体" w:eastAsia="方正仿宋简体"/>
          <w:sz w:val="28"/>
          <w:szCs w:val="28"/>
        </w:rPr>
      </w:pPr>
      <w:r>
        <w:rPr>
          <w:rFonts w:hint="eastAsia" w:ascii="方正仿宋简体" w:eastAsia="方正仿宋简体"/>
          <w:sz w:val="28"/>
          <w:szCs w:val="28"/>
        </w:rPr>
        <w:t>说明：课型是指讲授课、讨论课、习题课、实践课等。</w:t>
      </w:r>
    </w:p>
    <w:p>
      <w:pPr>
        <w:spacing w:line="360" w:lineRule="auto"/>
        <w:rPr>
          <w:rFonts w:asciiTheme="minorEastAsia" w:hAnsiTheme="minorEastAsia"/>
          <w:sz w:val="24"/>
          <w:szCs w:val="24"/>
        </w:rPr>
      </w:pPr>
    </w:p>
    <w:p>
      <w:pPr>
        <w:spacing w:line="560" w:lineRule="exact"/>
        <w:ind w:firstLine="643" w:firstLineChars="200"/>
        <w:jc w:val="center"/>
        <w:rPr>
          <w:rFonts w:asciiTheme="minorEastAsia" w:hAnsiTheme="minorEastAsia"/>
          <w:bCs/>
          <w:sz w:val="32"/>
          <w:szCs w:val="32"/>
        </w:rPr>
      </w:pPr>
      <w:r>
        <w:rPr>
          <w:rFonts w:hint="eastAsia" w:asciiTheme="minorEastAsia" w:hAnsiTheme="minorEastAsia"/>
          <w:b/>
          <w:bCs/>
          <w:sz w:val="32"/>
          <w:szCs w:val="32"/>
        </w:rPr>
        <w:t>内江师范学院课程表管理规定（修订）</w:t>
      </w:r>
    </w:p>
    <w:p>
      <w:pPr>
        <w:spacing w:line="560" w:lineRule="exact"/>
        <w:ind w:firstLine="562" w:firstLineChars="200"/>
        <w:jc w:val="center"/>
        <w:rPr>
          <w:rFonts w:asciiTheme="minorEastAsia" w:hAnsiTheme="minorEastAsia"/>
          <w:b/>
          <w:sz w:val="28"/>
          <w:szCs w:val="28"/>
        </w:rPr>
      </w:pPr>
      <w:r>
        <w:rPr>
          <w:rFonts w:hint="eastAsia" w:asciiTheme="minorEastAsia" w:hAnsiTheme="minorEastAsia"/>
          <w:b/>
          <w:sz w:val="28"/>
          <w:szCs w:val="28"/>
        </w:rPr>
        <w:t>内师教字〔2015〕47号</w:t>
      </w:r>
    </w:p>
    <w:p>
      <w:pPr>
        <w:spacing w:line="560" w:lineRule="exact"/>
        <w:ind w:firstLine="640" w:firstLineChars="200"/>
        <w:rPr>
          <w:rFonts w:asciiTheme="minorEastAsia" w:hAnsiTheme="minorEastAsia"/>
          <w:sz w:val="32"/>
          <w:szCs w:val="32"/>
        </w:rPr>
      </w:pPr>
    </w:p>
    <w:p>
      <w:pPr>
        <w:spacing w:line="360" w:lineRule="auto"/>
        <w:ind w:firstLine="480" w:firstLineChars="200"/>
        <w:rPr>
          <w:rFonts w:asciiTheme="minorEastAsia" w:hAnsiTheme="minorEastAsia"/>
          <w:sz w:val="24"/>
        </w:rPr>
      </w:pPr>
      <w:r>
        <w:rPr>
          <w:rFonts w:hint="eastAsia" w:asciiTheme="minorEastAsia" w:hAnsiTheme="minorEastAsia"/>
          <w:sz w:val="24"/>
        </w:rPr>
        <w:t>为维护教学秩序，统一管理和使用全校教学场地，合理利用全校教学资源编排全校课表，确保排课工作的科学化、制度化、信息化和人性化，特制定本规定。</w:t>
      </w:r>
    </w:p>
    <w:p>
      <w:pPr>
        <w:spacing w:line="360" w:lineRule="auto"/>
        <w:ind w:firstLine="482" w:firstLineChars="200"/>
        <w:rPr>
          <w:rFonts w:asciiTheme="minorEastAsia" w:hAnsiTheme="minorEastAsia"/>
          <w:b/>
          <w:sz w:val="24"/>
        </w:rPr>
      </w:pPr>
      <w:r>
        <w:rPr>
          <w:rFonts w:hint="eastAsia" w:asciiTheme="minorEastAsia" w:hAnsiTheme="minorEastAsia"/>
          <w:b/>
          <w:sz w:val="24"/>
        </w:rPr>
        <w:t>一、课程表的编排原则</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asciiTheme="minorEastAsia" w:hAnsiTheme="minorEastAsia"/>
          <w:kern w:val="0"/>
          <w:sz w:val="24"/>
        </w:rPr>
        <w:t>严格按照教学计划的要求排课。</w:t>
      </w:r>
      <w:r>
        <w:rPr>
          <w:rFonts w:asciiTheme="minorEastAsia" w:hAnsiTheme="minorEastAsia"/>
          <w:sz w:val="24"/>
        </w:rPr>
        <w:t>各门课程的</w:t>
      </w:r>
      <w:r>
        <w:rPr>
          <w:rFonts w:hint="eastAsia" w:asciiTheme="minorEastAsia" w:hAnsiTheme="minorEastAsia"/>
          <w:sz w:val="24"/>
        </w:rPr>
        <w:t>开课</w:t>
      </w:r>
      <w:r>
        <w:rPr>
          <w:rFonts w:asciiTheme="minorEastAsia" w:hAnsiTheme="minorEastAsia"/>
          <w:sz w:val="24"/>
        </w:rPr>
        <w:t>学期、学时数、各教学环节的安排，必须与教学计划</w:t>
      </w:r>
      <w:r>
        <w:rPr>
          <w:rFonts w:hint="eastAsia" w:asciiTheme="minorEastAsia" w:hAnsiTheme="minorEastAsia"/>
          <w:sz w:val="24"/>
        </w:rPr>
        <w:t>一致，国家法定假日、学校运动会不得排课，严格按教学计划中课程学时数执行</w:t>
      </w:r>
      <w:r>
        <w:rPr>
          <w:rFonts w:asciiTheme="minorEastAsia" w:hAnsiTheme="minorEastAsia"/>
          <w:sz w:val="24"/>
        </w:rPr>
        <w:t>。</w:t>
      </w:r>
    </w:p>
    <w:p>
      <w:pPr>
        <w:widowControl/>
        <w:tabs>
          <w:tab w:val="left" w:pos="360"/>
          <w:tab w:val="left" w:pos="780"/>
        </w:tabs>
        <w:spacing w:line="360" w:lineRule="auto"/>
        <w:ind w:firstLine="480" w:firstLineChars="200"/>
        <w:jc w:val="left"/>
        <w:rPr>
          <w:rFonts w:asciiTheme="minorEastAsia" w:hAnsiTheme="minorEastAsia"/>
          <w:kern w:val="0"/>
          <w:sz w:val="24"/>
        </w:rPr>
      </w:pPr>
      <w:r>
        <w:rPr>
          <w:rFonts w:hint="eastAsia" w:asciiTheme="minorEastAsia" w:hAnsiTheme="minorEastAsia"/>
          <w:sz w:val="24"/>
        </w:rPr>
        <w:t>2．</w:t>
      </w:r>
      <w:r>
        <w:rPr>
          <w:rFonts w:asciiTheme="minorEastAsia" w:hAnsiTheme="minorEastAsia"/>
          <w:sz w:val="24"/>
        </w:rPr>
        <w:t>利于学生德、智、体</w:t>
      </w:r>
      <w:r>
        <w:rPr>
          <w:rFonts w:hint="eastAsia" w:asciiTheme="minorEastAsia" w:hAnsiTheme="minorEastAsia"/>
          <w:sz w:val="24"/>
        </w:rPr>
        <w:t>、美</w:t>
      </w:r>
      <w:r>
        <w:rPr>
          <w:rFonts w:asciiTheme="minorEastAsia" w:hAnsiTheme="minorEastAsia"/>
          <w:sz w:val="24"/>
        </w:rPr>
        <w:t>全面发展，</w:t>
      </w:r>
      <w:r>
        <w:rPr>
          <w:rFonts w:asciiTheme="minorEastAsia" w:hAnsiTheme="minorEastAsia"/>
          <w:kern w:val="0"/>
          <w:sz w:val="24"/>
        </w:rPr>
        <w:t>保证学生有一定的自学和参加各种活动的时间。</w:t>
      </w:r>
    </w:p>
    <w:p>
      <w:pPr>
        <w:widowControl/>
        <w:tabs>
          <w:tab w:val="left" w:pos="360"/>
          <w:tab w:val="left" w:pos="780"/>
        </w:tabs>
        <w:spacing w:line="360" w:lineRule="auto"/>
        <w:ind w:firstLine="480" w:firstLineChars="200"/>
        <w:jc w:val="left"/>
        <w:rPr>
          <w:rFonts w:asciiTheme="minorEastAsia" w:hAnsiTheme="minorEastAsia"/>
          <w:kern w:val="0"/>
          <w:sz w:val="24"/>
        </w:rPr>
      </w:pPr>
      <w:r>
        <w:rPr>
          <w:rFonts w:hint="eastAsia" w:asciiTheme="minorEastAsia" w:hAnsiTheme="minorEastAsia"/>
          <w:sz w:val="24"/>
        </w:rPr>
        <w:t>3．</w:t>
      </w:r>
      <w:r>
        <w:rPr>
          <w:rFonts w:asciiTheme="minorEastAsia" w:hAnsiTheme="minorEastAsia"/>
          <w:sz w:val="24"/>
        </w:rPr>
        <w:t>合理统筹安排</w:t>
      </w:r>
      <w:r>
        <w:rPr>
          <w:rFonts w:hint="eastAsia" w:asciiTheme="minorEastAsia" w:hAnsiTheme="minorEastAsia"/>
          <w:sz w:val="24"/>
        </w:rPr>
        <w:t>教学场地</w:t>
      </w:r>
      <w:r>
        <w:rPr>
          <w:rFonts w:asciiTheme="minorEastAsia" w:hAnsiTheme="minorEastAsia"/>
          <w:sz w:val="24"/>
        </w:rPr>
        <w:t>，</w:t>
      </w:r>
      <w:r>
        <w:rPr>
          <w:rFonts w:asciiTheme="minorEastAsia" w:hAnsiTheme="minorEastAsia"/>
          <w:kern w:val="0"/>
          <w:sz w:val="24"/>
        </w:rPr>
        <w:t>利于教学设施的充分利用</w:t>
      </w:r>
      <w:r>
        <w:rPr>
          <w:rFonts w:hint="eastAsia" w:asciiTheme="minorEastAsia" w:hAnsiTheme="minorEastAsia"/>
          <w:kern w:val="0"/>
          <w:sz w:val="24"/>
        </w:rPr>
        <w:t>。</w:t>
      </w:r>
    </w:p>
    <w:p>
      <w:pPr>
        <w:widowControl/>
        <w:tabs>
          <w:tab w:val="left" w:pos="360"/>
          <w:tab w:val="left" w:pos="780"/>
        </w:tabs>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4．根据教学计划和见习、实习、实训安排，合理编排教学周数，以保障见习、实习、实训与课程学时数统筹安排。</w:t>
      </w:r>
    </w:p>
    <w:p>
      <w:pPr>
        <w:spacing w:line="360" w:lineRule="auto"/>
        <w:ind w:firstLine="480" w:firstLineChars="200"/>
        <w:rPr>
          <w:rFonts w:asciiTheme="minorEastAsia" w:hAnsiTheme="minorEastAsia"/>
          <w:kern w:val="0"/>
          <w:sz w:val="24"/>
        </w:rPr>
      </w:pPr>
      <w:r>
        <w:rPr>
          <w:rFonts w:hint="eastAsia" w:asciiTheme="minorEastAsia" w:hAnsiTheme="minorEastAsia"/>
          <w:sz w:val="24"/>
        </w:rPr>
        <w:t>5．</w:t>
      </w:r>
      <w:r>
        <w:rPr>
          <w:rFonts w:asciiTheme="minorEastAsia" w:hAnsiTheme="minorEastAsia"/>
          <w:kern w:val="0"/>
          <w:sz w:val="24"/>
        </w:rPr>
        <w:t>遵循学生生理和心理发展特点，考虑学生一天及一周内学习时间的均衡性</w:t>
      </w:r>
      <w:r>
        <w:rPr>
          <w:rFonts w:hint="eastAsia" w:asciiTheme="minorEastAsia" w:hAnsiTheme="minorEastAsia"/>
          <w:kern w:val="0"/>
          <w:sz w:val="24"/>
        </w:rPr>
        <w:t>, 同一门课程周学时不得超过6学时（需要集中授课的课程除外）</w:t>
      </w:r>
      <w:r>
        <w:rPr>
          <w:rFonts w:asciiTheme="minorEastAsia" w:hAnsiTheme="minorEastAsia"/>
          <w:kern w:val="0"/>
          <w:sz w:val="24"/>
        </w:rPr>
        <w:t>。</w:t>
      </w:r>
    </w:p>
    <w:p>
      <w:pPr>
        <w:spacing w:line="360" w:lineRule="auto"/>
        <w:ind w:firstLine="482" w:firstLineChars="200"/>
        <w:rPr>
          <w:rFonts w:asciiTheme="minorEastAsia" w:hAnsiTheme="minorEastAsia"/>
          <w:b/>
          <w:sz w:val="24"/>
        </w:rPr>
      </w:pPr>
      <w:r>
        <w:rPr>
          <w:rFonts w:hint="eastAsia" w:asciiTheme="minorEastAsia" w:hAnsiTheme="minorEastAsia"/>
          <w:b/>
          <w:sz w:val="24"/>
        </w:rPr>
        <w:t>二、</w:t>
      </w:r>
      <w:r>
        <w:rPr>
          <w:rFonts w:asciiTheme="minorEastAsia" w:hAnsiTheme="minorEastAsia"/>
          <w:b/>
          <w:sz w:val="24"/>
        </w:rPr>
        <w:t>课程表的编排程序</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下达学期教学任务</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w w:val="33"/>
          <w:sz w:val="24"/>
        </w:rPr>
        <w:t xml:space="preserve"> </w:t>
      </w:r>
      <w:r>
        <w:rPr>
          <w:rFonts w:asciiTheme="minorEastAsia" w:hAnsiTheme="minorEastAsia"/>
          <w:sz w:val="24"/>
        </w:rPr>
        <w:t>教务处根据学</w:t>
      </w:r>
      <w:r>
        <w:rPr>
          <w:rFonts w:hint="eastAsia" w:asciiTheme="minorEastAsia" w:hAnsiTheme="minorEastAsia"/>
          <w:sz w:val="24"/>
        </w:rPr>
        <w:t>校</w:t>
      </w:r>
      <w:r>
        <w:rPr>
          <w:rFonts w:asciiTheme="minorEastAsia" w:hAnsiTheme="minorEastAsia"/>
          <w:sz w:val="24"/>
        </w:rPr>
        <w:t>教学工作安排，明确学期起止时间，对教学周数、复习考试、假期等作出</w:t>
      </w:r>
      <w:r>
        <w:rPr>
          <w:rFonts w:hint="eastAsia" w:asciiTheme="minorEastAsia" w:hAnsiTheme="minorEastAsia"/>
          <w:sz w:val="24"/>
        </w:rPr>
        <w:t>统一</w:t>
      </w:r>
      <w:r>
        <w:rPr>
          <w:rFonts w:asciiTheme="minorEastAsia" w:hAnsiTheme="minorEastAsia"/>
          <w:sz w:val="24"/>
        </w:rPr>
        <w:t>安排。</w:t>
      </w:r>
    </w:p>
    <w:p>
      <w:pPr>
        <w:spacing w:line="360" w:lineRule="auto"/>
        <w:ind w:firstLine="480" w:firstLineChars="200"/>
        <w:rPr>
          <w:rFonts w:asciiTheme="minorEastAsia" w:hAnsiTheme="minorEastAsia"/>
          <w:sz w:val="24"/>
        </w:rPr>
      </w:pPr>
      <w:r>
        <w:rPr>
          <w:rFonts w:asciiTheme="minorEastAsia" w:hAnsiTheme="minorEastAsia"/>
          <w:sz w:val="24"/>
        </w:rPr>
        <w:t>（2）各教学单位按照</w:t>
      </w:r>
      <w:r>
        <w:rPr>
          <w:rFonts w:hint="eastAsia" w:asciiTheme="minorEastAsia" w:hAnsiTheme="minorEastAsia"/>
          <w:sz w:val="24"/>
        </w:rPr>
        <w:t>教学计划</w:t>
      </w:r>
      <w:r>
        <w:rPr>
          <w:rFonts w:asciiTheme="minorEastAsia" w:hAnsiTheme="minorEastAsia"/>
          <w:sz w:val="24"/>
        </w:rPr>
        <w:t>要求，</w:t>
      </w:r>
      <w:r>
        <w:rPr>
          <w:rFonts w:hint="eastAsia" w:asciiTheme="minorEastAsia" w:hAnsiTheme="minorEastAsia"/>
          <w:sz w:val="24"/>
        </w:rPr>
        <w:t>制订执行教学计划，分配教学任务，按课堂明确开课对象、任课教师、授课起止周、周学时、时间及地点要求，并</w:t>
      </w:r>
      <w:r>
        <w:rPr>
          <w:rFonts w:asciiTheme="minorEastAsia" w:hAnsiTheme="minorEastAsia"/>
          <w:sz w:val="24"/>
        </w:rPr>
        <w:t>填写《</w:t>
      </w:r>
      <w:r>
        <w:rPr>
          <w:rFonts w:hint="eastAsia" w:asciiTheme="minorEastAsia" w:hAnsiTheme="minorEastAsia"/>
          <w:sz w:val="24"/>
        </w:rPr>
        <w:t>开课任务书</w:t>
      </w:r>
      <w:r>
        <w:rPr>
          <w:rFonts w:asciiTheme="minorEastAsia" w:hAnsiTheme="minorEastAsia"/>
          <w:sz w:val="24"/>
        </w:rPr>
        <w:t>》，按规定时间</w:t>
      </w:r>
      <w:r>
        <w:rPr>
          <w:rFonts w:hint="eastAsia" w:asciiTheme="minorEastAsia" w:hAnsiTheme="minorEastAsia"/>
          <w:sz w:val="24"/>
        </w:rPr>
        <w:t>报送</w:t>
      </w:r>
      <w:r>
        <w:rPr>
          <w:rFonts w:asciiTheme="minorEastAsia" w:hAnsiTheme="minorEastAsia"/>
          <w:sz w:val="24"/>
        </w:rPr>
        <w:t>教务处</w:t>
      </w:r>
      <w:r>
        <w:rPr>
          <w:rFonts w:hint="eastAsia" w:asciiTheme="minorEastAsia" w:hAnsiTheme="minorEastAsia"/>
          <w:sz w:val="24"/>
        </w:rPr>
        <w:t>教学行政管理科。</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课程表的编排</w:t>
      </w:r>
    </w:p>
    <w:p>
      <w:pPr>
        <w:spacing w:line="360" w:lineRule="auto"/>
        <w:ind w:firstLine="480" w:firstLineChars="200"/>
        <w:rPr>
          <w:rFonts w:asciiTheme="minorEastAsia" w:hAnsiTheme="minorEastAsia"/>
          <w:sz w:val="24"/>
        </w:rPr>
      </w:pPr>
      <w:r>
        <w:rPr>
          <w:rFonts w:asciiTheme="minorEastAsia" w:hAnsiTheme="minorEastAsia"/>
          <w:sz w:val="24"/>
        </w:rPr>
        <w:t>（1）各教学单位在规定时间内</w:t>
      </w:r>
      <w:r>
        <w:rPr>
          <w:rFonts w:hint="eastAsia" w:asciiTheme="minorEastAsia" w:hAnsiTheme="minorEastAsia"/>
          <w:sz w:val="24"/>
        </w:rPr>
        <w:t>按《开课任务书》要求做好教学任务的教务系统维护工作；</w:t>
      </w:r>
    </w:p>
    <w:p>
      <w:pPr>
        <w:spacing w:line="360" w:lineRule="auto"/>
        <w:ind w:firstLine="480" w:firstLineChars="200"/>
        <w:rPr>
          <w:rFonts w:asciiTheme="minorEastAsia" w:hAnsiTheme="minorEastAsia"/>
          <w:sz w:val="24"/>
        </w:rPr>
      </w:pPr>
      <w:r>
        <w:rPr>
          <w:rFonts w:asciiTheme="minorEastAsia" w:hAnsiTheme="minorEastAsia"/>
          <w:sz w:val="24"/>
        </w:rPr>
        <w:t>（</w:t>
      </w:r>
      <w:r>
        <w:rPr>
          <w:rFonts w:hint="eastAsia" w:asciiTheme="minorEastAsia" w:hAnsiTheme="minorEastAsia"/>
          <w:sz w:val="24"/>
        </w:rPr>
        <w:t>2</w:t>
      </w:r>
      <w:r>
        <w:rPr>
          <w:rFonts w:asciiTheme="minorEastAsia" w:hAnsiTheme="minorEastAsia"/>
          <w:sz w:val="24"/>
        </w:rPr>
        <w:t>）各教学单位</w:t>
      </w:r>
      <w:r>
        <w:rPr>
          <w:rFonts w:hint="eastAsia" w:asciiTheme="minorEastAsia" w:hAnsiTheme="minorEastAsia"/>
          <w:sz w:val="24"/>
        </w:rPr>
        <w:t>和教务处共同排课，教务处负责编制全校课程表；</w:t>
      </w:r>
    </w:p>
    <w:p>
      <w:pPr>
        <w:spacing w:line="360" w:lineRule="auto"/>
        <w:ind w:firstLine="480" w:firstLineChars="200"/>
        <w:rPr>
          <w:rFonts w:asciiTheme="minorEastAsia" w:hAnsiTheme="minorEastAsia"/>
          <w:sz w:val="24"/>
        </w:rPr>
      </w:pP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）各教学单位负责本单位课程表的校对工作。</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课程表</w:t>
      </w:r>
      <w:r>
        <w:rPr>
          <w:rFonts w:hint="eastAsia" w:asciiTheme="minorEastAsia" w:hAnsiTheme="minorEastAsia"/>
          <w:sz w:val="24"/>
        </w:rPr>
        <w:t>的调整</w:t>
      </w:r>
    </w:p>
    <w:p>
      <w:pPr>
        <w:spacing w:line="360" w:lineRule="auto"/>
        <w:ind w:firstLine="480" w:firstLineChars="200"/>
        <w:rPr>
          <w:rFonts w:asciiTheme="minorEastAsia" w:hAnsiTheme="minorEastAsia"/>
          <w:sz w:val="24"/>
        </w:rPr>
      </w:pPr>
      <w:r>
        <w:rPr>
          <w:rFonts w:asciiTheme="minorEastAsia" w:hAnsiTheme="minorEastAsia"/>
          <w:kern w:val="0"/>
          <w:sz w:val="24"/>
        </w:rPr>
        <w:t>教务处在学期结束前</w:t>
      </w:r>
      <w:r>
        <w:rPr>
          <w:rFonts w:hint="eastAsia" w:asciiTheme="minorEastAsia" w:hAnsiTheme="minorEastAsia"/>
          <w:kern w:val="0"/>
          <w:sz w:val="24"/>
        </w:rPr>
        <w:t>安排</w:t>
      </w:r>
      <w:r>
        <w:rPr>
          <w:rFonts w:asciiTheme="minorEastAsia" w:hAnsiTheme="minorEastAsia"/>
          <w:kern w:val="0"/>
          <w:sz w:val="24"/>
        </w:rPr>
        <w:t>出下学期课程表，</w:t>
      </w:r>
      <w:r>
        <w:rPr>
          <w:rFonts w:hint="eastAsia" w:asciiTheme="minorEastAsia" w:hAnsiTheme="minorEastAsia"/>
          <w:kern w:val="0"/>
          <w:sz w:val="24"/>
        </w:rPr>
        <w:t>各教学单位教科办核对课程安排表，并将教师课表告知任课</w:t>
      </w:r>
      <w:r>
        <w:rPr>
          <w:rFonts w:asciiTheme="minorEastAsia" w:hAnsiTheme="minorEastAsia"/>
          <w:kern w:val="0"/>
          <w:sz w:val="24"/>
        </w:rPr>
        <w:t>教师</w:t>
      </w:r>
      <w:r>
        <w:rPr>
          <w:rFonts w:hint="eastAsia" w:asciiTheme="minorEastAsia" w:hAnsiTheme="minorEastAsia"/>
          <w:kern w:val="0"/>
          <w:sz w:val="24"/>
        </w:rPr>
        <w:t>，若</w:t>
      </w:r>
      <w:r>
        <w:rPr>
          <w:rFonts w:asciiTheme="minorEastAsia" w:hAnsiTheme="minorEastAsia"/>
          <w:kern w:val="0"/>
          <w:sz w:val="24"/>
        </w:rPr>
        <w:t>任课教师</w:t>
      </w:r>
      <w:r>
        <w:rPr>
          <w:rFonts w:hint="eastAsia" w:asciiTheme="minorEastAsia" w:hAnsiTheme="minorEastAsia"/>
          <w:kern w:val="0"/>
          <w:sz w:val="24"/>
        </w:rPr>
        <w:t>需要对课程表进行调整，由各教学单位教学科研办公室统一汇总后于学期放假前到教务处调整，教务处在</w:t>
      </w:r>
      <w:r>
        <w:rPr>
          <w:rFonts w:asciiTheme="minorEastAsia" w:hAnsiTheme="minorEastAsia"/>
          <w:kern w:val="0"/>
          <w:sz w:val="24"/>
        </w:rPr>
        <w:t>下学期开学</w:t>
      </w:r>
      <w:r>
        <w:rPr>
          <w:rFonts w:hint="eastAsia" w:asciiTheme="minorEastAsia" w:hAnsiTheme="minorEastAsia"/>
          <w:kern w:val="0"/>
          <w:sz w:val="24"/>
        </w:rPr>
        <w:t>初公布</w:t>
      </w:r>
      <w:r>
        <w:rPr>
          <w:rFonts w:asciiTheme="minorEastAsia" w:hAnsiTheme="minorEastAsia"/>
          <w:kern w:val="0"/>
          <w:sz w:val="24"/>
        </w:rPr>
        <w:t>全</w:t>
      </w:r>
      <w:r>
        <w:rPr>
          <w:rFonts w:hint="eastAsia" w:asciiTheme="minorEastAsia" w:hAnsiTheme="minorEastAsia"/>
          <w:kern w:val="0"/>
          <w:sz w:val="24"/>
        </w:rPr>
        <w:t>校</w:t>
      </w:r>
      <w:r>
        <w:rPr>
          <w:rFonts w:asciiTheme="minorEastAsia" w:hAnsiTheme="minorEastAsia"/>
          <w:kern w:val="0"/>
          <w:sz w:val="24"/>
        </w:rPr>
        <w:t>总课程表。</w:t>
      </w:r>
    </w:p>
    <w:p>
      <w:pPr>
        <w:spacing w:line="360" w:lineRule="auto"/>
        <w:ind w:firstLine="482" w:firstLineChars="200"/>
        <w:rPr>
          <w:rFonts w:asciiTheme="minorEastAsia" w:hAnsiTheme="minorEastAsia"/>
          <w:b/>
          <w:sz w:val="24"/>
        </w:rPr>
      </w:pPr>
      <w:r>
        <w:rPr>
          <w:rFonts w:hint="eastAsia" w:asciiTheme="minorEastAsia" w:hAnsiTheme="minorEastAsia"/>
          <w:b/>
          <w:sz w:val="24"/>
        </w:rPr>
        <w:t>三、</w:t>
      </w:r>
      <w:r>
        <w:rPr>
          <w:rFonts w:asciiTheme="minorEastAsia" w:hAnsiTheme="minorEastAsia"/>
          <w:b/>
          <w:sz w:val="24"/>
        </w:rPr>
        <w:t>课程表的调度管理</w:t>
      </w:r>
    </w:p>
    <w:p>
      <w:pPr>
        <w:snapToGrid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课程表的制定应在每学期期末完成。</w:t>
      </w:r>
    </w:p>
    <w:p>
      <w:pPr>
        <w:snapToGrid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课程表要保持稳定，除学</w:t>
      </w:r>
      <w:r>
        <w:rPr>
          <w:rFonts w:hint="eastAsia" w:asciiTheme="minorEastAsia" w:hAnsiTheme="minorEastAsia"/>
          <w:sz w:val="24"/>
        </w:rPr>
        <w:t>校</w:t>
      </w:r>
      <w:r>
        <w:rPr>
          <w:rFonts w:asciiTheme="minorEastAsia" w:hAnsiTheme="minorEastAsia"/>
          <w:sz w:val="24"/>
        </w:rPr>
        <w:t>根据需要，统筹安排进行调整外，任何部门不得随意变动。若确有实际情况须调课、停课，必须按照《</w:t>
      </w:r>
      <w:r>
        <w:rPr>
          <w:rFonts w:asciiTheme="minorEastAsia" w:hAnsiTheme="minorEastAsia"/>
          <w:bCs/>
          <w:sz w:val="24"/>
        </w:rPr>
        <w:t>内江师范学院关于调课、停课、代课和补课的有关规定》办理有关手续，并填写</w:t>
      </w:r>
      <w:r>
        <w:rPr>
          <w:rFonts w:asciiTheme="minorEastAsia" w:hAnsiTheme="minorEastAsia"/>
          <w:sz w:val="24"/>
        </w:rPr>
        <w:t>《内江师范学院教师调课申请表》，经</w:t>
      </w:r>
      <w:r>
        <w:rPr>
          <w:rFonts w:hint="eastAsia" w:asciiTheme="minorEastAsia" w:hAnsiTheme="minorEastAsia"/>
          <w:sz w:val="24"/>
        </w:rPr>
        <w:t>教学单位审批并报</w:t>
      </w:r>
      <w:r>
        <w:rPr>
          <w:rFonts w:asciiTheme="minorEastAsia" w:hAnsiTheme="minorEastAsia"/>
          <w:sz w:val="24"/>
        </w:rPr>
        <w:t>教务</w:t>
      </w:r>
      <w:r>
        <w:rPr>
          <w:rFonts w:hint="eastAsia" w:asciiTheme="minorEastAsia" w:hAnsiTheme="minorEastAsia"/>
          <w:sz w:val="24"/>
        </w:rPr>
        <w:t>处备案后</w:t>
      </w:r>
      <w:r>
        <w:rPr>
          <w:rFonts w:asciiTheme="minorEastAsia" w:hAnsiTheme="minorEastAsia"/>
          <w:sz w:val="24"/>
        </w:rPr>
        <w:t>方可</w:t>
      </w:r>
      <w:r>
        <w:rPr>
          <w:rFonts w:hint="eastAsia" w:asciiTheme="minorEastAsia" w:hAnsiTheme="minorEastAsia"/>
          <w:sz w:val="24"/>
        </w:rPr>
        <w:t>执行</w:t>
      </w:r>
      <w:r>
        <w:rPr>
          <w:rFonts w:asciiTheme="minorEastAsia" w:hAnsiTheme="minorEastAsia"/>
          <w:sz w:val="24"/>
        </w:rPr>
        <w:t>。</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各</w:t>
      </w:r>
      <w:r>
        <w:rPr>
          <w:rFonts w:hint="eastAsia" w:asciiTheme="minorEastAsia" w:hAnsiTheme="minorEastAsia"/>
          <w:sz w:val="24"/>
        </w:rPr>
        <w:t>二级学院</w:t>
      </w:r>
      <w:r>
        <w:rPr>
          <w:rFonts w:asciiTheme="minorEastAsia" w:hAnsiTheme="minorEastAsia"/>
          <w:sz w:val="24"/>
        </w:rPr>
        <w:t>因安排见习或课外实习课等须停课的，须</w:t>
      </w:r>
      <w:r>
        <w:rPr>
          <w:rFonts w:hint="eastAsia" w:asciiTheme="minorEastAsia" w:hAnsiTheme="minorEastAsia"/>
          <w:sz w:val="24"/>
        </w:rPr>
        <w:t>至少</w:t>
      </w:r>
      <w:r>
        <w:rPr>
          <w:rFonts w:asciiTheme="minorEastAsia" w:hAnsiTheme="minorEastAsia"/>
          <w:sz w:val="24"/>
        </w:rPr>
        <w:t>提前一周报教务处，经</w:t>
      </w:r>
      <w:r>
        <w:rPr>
          <w:rFonts w:hint="eastAsia" w:asciiTheme="minorEastAsia" w:hAnsiTheme="minorEastAsia"/>
          <w:sz w:val="24"/>
        </w:rPr>
        <w:t>分管实践教学处长</w:t>
      </w:r>
      <w:r>
        <w:rPr>
          <w:rFonts w:asciiTheme="minorEastAsia" w:hAnsiTheme="minorEastAsia"/>
          <w:sz w:val="24"/>
        </w:rPr>
        <w:t>批准</w:t>
      </w:r>
      <w:r>
        <w:rPr>
          <w:rFonts w:hint="eastAsia" w:asciiTheme="minorEastAsia" w:hAnsiTheme="minorEastAsia"/>
          <w:sz w:val="24"/>
        </w:rPr>
        <w:t>后到教学行政管理科备案</w:t>
      </w:r>
      <w:r>
        <w:rPr>
          <w:rFonts w:asciiTheme="minorEastAsia" w:hAnsiTheme="minorEastAsia"/>
          <w:sz w:val="24"/>
        </w:rPr>
        <w:t>方可执行。</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4．因全校性活动而出现调（停）课的，由教务处统一通知。</w:t>
      </w:r>
    </w:p>
    <w:p>
      <w:pPr>
        <w:tabs>
          <w:tab w:val="left" w:pos="990"/>
        </w:tabs>
        <w:spacing w:line="360" w:lineRule="auto"/>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教师必须遵守课程表规定的作息时间，不得提前上课或下课，</w:t>
      </w:r>
      <w:r>
        <w:rPr>
          <w:rFonts w:hint="eastAsia" w:asciiTheme="minorEastAsia" w:hAnsiTheme="minorEastAsia"/>
          <w:sz w:val="24"/>
        </w:rPr>
        <w:t>不得迟到、</w:t>
      </w:r>
      <w:r>
        <w:rPr>
          <w:rFonts w:asciiTheme="minorEastAsia" w:hAnsiTheme="minorEastAsia"/>
          <w:sz w:val="24"/>
        </w:rPr>
        <w:t>不得随意</w:t>
      </w:r>
      <w:r>
        <w:rPr>
          <w:rFonts w:hint="eastAsia" w:asciiTheme="minorEastAsia" w:hAnsiTheme="minorEastAsia"/>
          <w:sz w:val="24"/>
        </w:rPr>
        <w:t>拖</w:t>
      </w:r>
      <w:r>
        <w:rPr>
          <w:rFonts w:asciiTheme="minorEastAsia" w:hAnsiTheme="minorEastAsia"/>
          <w:sz w:val="24"/>
        </w:rPr>
        <w:t>堂。</w:t>
      </w:r>
    </w:p>
    <w:p>
      <w:pPr>
        <w:tabs>
          <w:tab w:val="left" w:pos="990"/>
        </w:tabs>
        <w:spacing w:line="360" w:lineRule="auto"/>
        <w:ind w:firstLine="480" w:firstLineChars="200"/>
        <w:rPr>
          <w:rFonts w:asciiTheme="minorEastAsia" w:hAnsiTheme="minorEastAsia"/>
          <w:sz w:val="24"/>
        </w:rPr>
      </w:pPr>
      <w:r>
        <w:rPr>
          <w:rFonts w:hint="eastAsia" w:asciiTheme="minorEastAsia" w:hAnsiTheme="minorEastAsia"/>
          <w:sz w:val="24"/>
        </w:rPr>
        <w:t>6．</w:t>
      </w:r>
      <w:r>
        <w:rPr>
          <w:rFonts w:asciiTheme="minorEastAsia" w:hAnsiTheme="minorEastAsia"/>
          <w:sz w:val="24"/>
        </w:rPr>
        <w:t>各教学单位应坚持严格管理，从严治教</w:t>
      </w:r>
      <w:r>
        <w:rPr>
          <w:rFonts w:hint="eastAsia" w:asciiTheme="minorEastAsia" w:hAnsiTheme="minorEastAsia"/>
          <w:sz w:val="24"/>
        </w:rPr>
        <w:t>，确保教学秩序正常运行</w:t>
      </w:r>
      <w:r>
        <w:rPr>
          <w:rFonts w:asciiTheme="minorEastAsia" w:hAnsiTheme="minorEastAsia"/>
          <w:sz w:val="24"/>
        </w:rPr>
        <w:t>。</w:t>
      </w:r>
    </w:p>
    <w:p>
      <w:pPr>
        <w:spacing w:line="360" w:lineRule="auto"/>
        <w:ind w:firstLine="482" w:firstLineChars="200"/>
        <w:rPr>
          <w:rFonts w:asciiTheme="minorEastAsia" w:hAnsiTheme="minorEastAsia"/>
          <w:b/>
          <w:kern w:val="0"/>
          <w:sz w:val="24"/>
        </w:rPr>
      </w:pPr>
      <w:r>
        <w:rPr>
          <w:rFonts w:hint="eastAsia" w:asciiTheme="minorEastAsia" w:hAnsiTheme="minorEastAsia"/>
          <w:b/>
          <w:sz w:val="24"/>
        </w:rPr>
        <w:t>四、</w:t>
      </w:r>
      <w:r>
        <w:rPr>
          <w:rFonts w:asciiTheme="minorEastAsia" w:hAnsiTheme="minorEastAsia"/>
          <w:b/>
          <w:sz w:val="24"/>
        </w:rPr>
        <w:t>本办法自</w:t>
      </w:r>
      <w:r>
        <w:rPr>
          <w:rFonts w:hint="eastAsia" w:asciiTheme="minorEastAsia" w:hAnsiTheme="minorEastAsia"/>
          <w:b/>
          <w:sz w:val="24"/>
        </w:rPr>
        <w:t>发文</w:t>
      </w:r>
      <w:r>
        <w:rPr>
          <w:rFonts w:asciiTheme="minorEastAsia" w:hAnsiTheme="minorEastAsia"/>
          <w:b/>
          <w:sz w:val="24"/>
        </w:rPr>
        <w:t>之日起</w:t>
      </w:r>
      <w:r>
        <w:rPr>
          <w:rFonts w:hint="eastAsia" w:asciiTheme="minorEastAsia" w:hAnsiTheme="minorEastAsia"/>
          <w:b/>
          <w:sz w:val="24"/>
        </w:rPr>
        <w:t>执行</w:t>
      </w:r>
      <w:r>
        <w:rPr>
          <w:rFonts w:asciiTheme="minorEastAsia" w:hAnsiTheme="minorEastAsia"/>
          <w:b/>
          <w:sz w:val="24"/>
        </w:rPr>
        <w:t>，由教务处负责解释。</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480" w:firstLineChars="200"/>
        <w:jc w:val="right"/>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二○一五</w:t>
      </w:r>
      <w:r>
        <w:rPr>
          <w:rFonts w:asciiTheme="minorEastAsia" w:hAnsiTheme="minorEastAsia"/>
          <w:sz w:val="24"/>
        </w:rPr>
        <w:t>年</w:t>
      </w:r>
      <w:r>
        <w:rPr>
          <w:rFonts w:hint="eastAsia" w:asciiTheme="minorEastAsia" w:hAnsiTheme="minorEastAsia"/>
          <w:sz w:val="24"/>
        </w:rPr>
        <w:t>四</w:t>
      </w:r>
      <w:r>
        <w:rPr>
          <w:rFonts w:asciiTheme="minorEastAsia" w:hAnsiTheme="minorEastAsia"/>
          <w:sz w:val="24"/>
        </w:rPr>
        <w:t>月</w:t>
      </w:r>
      <w:r>
        <w:rPr>
          <w:rFonts w:hint="eastAsia" w:asciiTheme="minorEastAsia" w:hAnsiTheme="minorEastAsia"/>
          <w:sz w:val="24"/>
        </w:rPr>
        <w:t>十五</w:t>
      </w:r>
      <w:r>
        <w:rPr>
          <w:rFonts w:asciiTheme="minorEastAsia" w:hAnsiTheme="minorEastAsia"/>
          <w:sz w:val="24"/>
        </w:rPr>
        <w:t>日</w:t>
      </w:r>
    </w:p>
    <w:p>
      <w:pPr>
        <w:spacing w:line="360" w:lineRule="auto"/>
        <w:rPr>
          <w:rFonts w:asciiTheme="minorEastAsia" w:hAnsiTheme="minorEastAsia"/>
        </w:rPr>
      </w:pPr>
    </w:p>
    <w:p>
      <w:pPr>
        <w:spacing w:line="360" w:lineRule="auto"/>
        <w:rPr>
          <w:rFonts w:asciiTheme="minorEastAsia" w:hAnsiTheme="minorEastAsia"/>
          <w:sz w:val="24"/>
          <w:szCs w:val="24"/>
        </w:rPr>
      </w:pPr>
      <w:r>
        <w:rPr>
          <w:rFonts w:asciiTheme="minorEastAsia" w:hAnsiTheme="minorEastAsia"/>
          <w:sz w:val="24"/>
          <w:szCs w:val="24"/>
        </w:rPr>
        <w:br w:type="page"/>
      </w:r>
    </w:p>
    <w:p>
      <w:pPr>
        <w:pStyle w:val="19"/>
        <w:spacing w:line="560" w:lineRule="exact"/>
        <w:ind w:firstLine="618"/>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内江师范学院学生选课管理办法（修订）</w:t>
      </w:r>
    </w:p>
    <w:p>
      <w:pPr>
        <w:pStyle w:val="19"/>
        <w:spacing w:line="560" w:lineRule="exact"/>
        <w:ind w:firstLine="538"/>
        <w:jc w:val="center"/>
        <w:rPr>
          <w:rFonts w:asciiTheme="minorEastAsia" w:hAnsiTheme="minorEastAsia" w:eastAsiaTheme="minorEastAsia"/>
          <w:b/>
          <w:spacing w:val="-6"/>
          <w:sz w:val="28"/>
          <w:szCs w:val="28"/>
        </w:rPr>
      </w:pPr>
      <w:r>
        <w:rPr>
          <w:rFonts w:hint="eastAsia" w:asciiTheme="minorEastAsia" w:hAnsiTheme="minorEastAsia" w:eastAsiaTheme="minorEastAsia"/>
          <w:b/>
          <w:spacing w:val="-6"/>
          <w:sz w:val="28"/>
          <w:szCs w:val="28"/>
        </w:rPr>
        <w:t>内师教字〔2013〕76号</w:t>
      </w:r>
    </w:p>
    <w:p>
      <w:pPr>
        <w:pStyle w:val="19"/>
        <w:spacing w:line="560" w:lineRule="exact"/>
        <w:ind w:firstLine="618"/>
        <w:rPr>
          <w:rFonts w:asciiTheme="minorEastAsia" w:hAnsiTheme="minorEastAsia" w:eastAsiaTheme="minorEastAsia"/>
          <w:b/>
          <w:spacing w:val="-6"/>
          <w:sz w:val="32"/>
          <w:szCs w:val="32"/>
        </w:rPr>
      </w:pP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选课是学分制的核心，也是一项较复杂的工作，需要精心设计、认真组织、严格管理。为了加强学分制下的选课管理，做好学生选课工作，保证良好的教学秩序，特制定本办法。</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一、选课须知</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学生在选课前，应熟悉此《选课管理办法》的内容和《学生网上选课说明》，了解选课的程序和计算机基本操作步骤。</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二、课程类型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根据课程设置情况，课程属性类型分为必修课程、限选课程、任选课程三类，其内容如下：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（一）必修课程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必修课程是指按照专业人才培养方案的要求学生必须修读的课程。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（二）限选课程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限选课程是指按照专业人才培养方案的安排，学生须从若干组课或若干门课程中选修一定数量的课程组或课程，学生选修的课程组或课程的学分数须达到专业人才培养方案的要求。</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（三）任选课程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任选课程是指按照专业人才培养方案的要求，学生可以根据自己的志趣、能力和学科专业发展需要，在较大范围内选修的课程。</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三、选课原则</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一）学生应全面了解本专业的人才培养方案。人才培养方案是选课的重要依据，学生应在规定的时限内按照人才培养方案的安排修读必修课和各实践环节，在导师的指导下依照有关规定选修课程，以取得规定的学分，达到毕业要求。</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（二）学生要按照本专业学分制人才培养方案，在导师的指导下，安排学习进程。学生根据自己的学习情况及能力，听取导师意见后，选定各学期修读的课程。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（三）学生选课首先要保证修完本专业人才培养方案要求的必修课程。对于有先行课要求的课程，必须先修读先行课程，然后再选后续课程。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（四）每学期选修属于考试课程的课程门数不宜太多，避免学习压力过大和考试安排发生冲突。</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（五）上课时间冲突的课程的选课原则：</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1. 每周2学时的课程不允许冲突。</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 若开课时间完全冲突的课程需要选一门，优先保证选择必修课。</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3. 开课时间全部冲突的课程，征得指导教师同意并经学院批准可以减免其中一门课程的部分听课时间，但每周冲突时间不得多于一次课（2学时），不得减免实践类课程（包括实验课程）上课时间。</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4. 对于需多学期开设才能完成的课程（如高等数学、普通物理、外语等）宜连续选课学习。</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5. 对选课人数过少的选修课（选课人数在30人以下）,该课程停开（艺术、体育及英语或有特殊要求的课程除外）。</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四、选课方法与步骤</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（一）选课方法</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学生在选课前要在导师的指导下熟悉本专业人才培养方案，具体选课办法参照《学生网上选课说明》。</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（二）选课步骤</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学生选课分为评教、预选、正选及补退选四个步骤：</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1.评教：进入教务处网站，再登入“教务管理系统”，进入“教学评估”板块将所有课程评教完成后方可进入选课阶段。</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预选：登录教务处网站选课系统，查询本学期选修课课程表，再在校任选课中查看下期开设的校通识选修课列表，根据个人需要和兴趣爱好，在需要选修的课程前打“√”选中，点击确定即可。同一课程号不同课序号的课程在选课时不能同时选择，若某门课程有上机，需要上机和理论同时勾选。</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3.正选：在预选基础上，学生根据课程重要程度，正式确定选修的课程。如所选修课程选课人数过多，超过该课程授课人数容量，则系统采取随机抽签办法，随机筛出多余人数，被筛出的学生可重新选择课程。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4.补退选：正选后在规定时间内，可对已选择的课程进行补退选。</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（三）选课时间安排</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1. 根据教学工作安排，每学期第17周前后由教务处公布下学期选修课程的开课目录、任课教师、上课时间、上课地点和上课人数容量，并开始预选，预选时间一般持续2周。</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 预选结束后开始正选，学生可在网上选课系统的选定课程中查看选课抽签结果，如所选课程因人数超过，而又被计算机筛选出的学生可重新选修其它可选课程，正选时间一般持续1周。</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3. 补退选安排在每学期开学第1、2周进行，学生可根据试听情况对已选课程进行退选，并在具备课容量的情况下补选未选课程。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开课两周后一般不得退选或改选，确需退选或改选者必须在开课第四周内向二级学院教科办提出申请，经任课教师同意后，由开课学院批准，报教务处备案。有漏选、错选者也在同一时间内一并办理。</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评教、预选、正选、补退选在校园网内任何机房和能够联上校园网的个人计算机上均可进行。</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五、教学要求</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（一）各二级学院分管教学的院长、各选课班级导师（或班主任）须认真组织学生学习选课通知，指导学生正确选择课程。</w:t>
      </w:r>
    </w:p>
    <w:p>
      <w:pPr>
        <w:pStyle w:val="19"/>
        <w:spacing w:line="360" w:lineRule="auto"/>
        <w:ind w:firstLine="456"/>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（二）不按时在网上选课的学生，不能参加该课程的学习和考核。选课后未办理退选手续、无故不参加课程学习和考核者，该课程成绩记为零分，不能取得相应学分。</w:t>
      </w:r>
      <w:r>
        <w:rPr>
          <w:rFonts w:hint="eastAsia" w:asciiTheme="minorEastAsia" w:hAnsiTheme="minorEastAsia" w:eastAsiaTheme="minorEastAsia"/>
          <w:kern w:val="0"/>
          <w:sz w:val="24"/>
          <w:szCs w:val="24"/>
        </w:rPr>
        <w:t>未办理选课手续而参加听课、考核者，其考核成绩无效。</w:t>
      </w:r>
    </w:p>
    <w:p>
      <w:pPr>
        <w:pStyle w:val="19"/>
        <w:spacing w:line="360" w:lineRule="auto"/>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六、本办法自发文之日起执行，由教务处负责解释。</w:t>
      </w:r>
    </w:p>
    <w:p>
      <w:pPr>
        <w:spacing w:line="360" w:lineRule="auto"/>
        <w:ind w:left="3574" w:hanging="3573" w:hangingChars="1489"/>
        <w:rPr>
          <w:rFonts w:asciiTheme="minorEastAsia" w:hAnsiTheme="minorEastAsia"/>
          <w:sz w:val="24"/>
          <w:szCs w:val="24"/>
        </w:rPr>
      </w:pPr>
    </w:p>
    <w:p>
      <w:pPr>
        <w:spacing w:line="360" w:lineRule="auto"/>
        <w:ind w:left="3574" w:hanging="3573" w:hangingChars="1489"/>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2013年7月9日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内江师范学院课程免修管理办法（修订）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内师教字〔2013〕75号</w:t>
      </w:r>
    </w:p>
    <w:p>
      <w:pPr>
        <w:spacing w:line="560" w:lineRule="exact"/>
        <w:jc w:val="center"/>
        <w:rPr>
          <w:rFonts w:ascii="方正仿宋简体" w:hAnsi="宋体" w:eastAsia="方正仿宋简体"/>
          <w:b/>
          <w:sz w:val="28"/>
          <w:szCs w:val="28"/>
        </w:rPr>
      </w:pP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为不断深化教育教学改革，充分发挥学生学习的自主性，让学有余力的学生有更多的学习时间与空间，铸造学习个性，发展个人特长，特制定本规定。</w:t>
      </w:r>
    </w:p>
    <w:p>
      <w:pPr>
        <w:pStyle w:val="19"/>
        <w:spacing w:line="440" w:lineRule="exact"/>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一、免修条件</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学生对专业指导性教学计划规定的必修课或专业限选课通过自学等途径，认为确已掌握者，可提出免修申请，但思想政治理论课、体育、军训及实习、设计等实践性环节不能申请免修。</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留、降级学生原已及格的课程可以申请免修。</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专科升本科的学生在专科段所修的公共课程达80分及以上，升本后该门课可以申请免修；所修的专业课程考核成绩达90分以上，升本后该门课程可以申请免修。</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学生因病不能坚持上体育课者，根据病情可申请改修体育保健类理论课程。</w:t>
      </w:r>
    </w:p>
    <w:p>
      <w:pPr>
        <w:pStyle w:val="19"/>
        <w:spacing w:line="440" w:lineRule="exact"/>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二、免修成绩认定</w:t>
      </w:r>
    </w:p>
    <w:p>
      <w:pPr>
        <w:pStyle w:val="19"/>
        <w:spacing w:line="440" w:lineRule="exact"/>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通过自学等途径申请免修者，需参加该门课程考核，以考核成绩认定该门课程成绩；</w:t>
      </w:r>
    </w:p>
    <w:p>
      <w:pPr>
        <w:pStyle w:val="19"/>
        <w:spacing w:line="440" w:lineRule="exact"/>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留、降级学生原已及格课程申请免修者，以原课程成绩认定成绩；</w:t>
      </w:r>
    </w:p>
    <w:p>
      <w:pPr>
        <w:pStyle w:val="19"/>
        <w:spacing w:line="440" w:lineRule="exact"/>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 专科升本科学生申请免修者，该门课程成绩按80分计；</w:t>
      </w:r>
    </w:p>
    <w:p>
      <w:pPr>
        <w:pStyle w:val="19"/>
        <w:spacing w:line="440" w:lineRule="exact"/>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 因病改修体育保健类理论课程者，体育成绩按该门课程考核成绩计。</w:t>
      </w:r>
    </w:p>
    <w:p>
      <w:pPr>
        <w:pStyle w:val="19"/>
        <w:spacing w:line="440" w:lineRule="exact"/>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三、免修程序</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需要免修的学生按以下程序办理免修手续：</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学生本人提出书面免修申请。</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二级学院教学科研办公室主任核查，二级学院院长审批并加盖学院公章，若需组织考试，由开课二级学院负责安排。</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报教务处审批。</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教务处审批后通知二级学院、由二级学院负责通知学生及任课教师。</w:t>
      </w:r>
    </w:p>
    <w:p>
      <w:pPr>
        <w:pStyle w:val="19"/>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将审批完成的手续原件一式两份分别交学生所在二级学院和教务处存档。</w:t>
      </w:r>
    </w:p>
    <w:p>
      <w:pPr>
        <w:pStyle w:val="19"/>
        <w:spacing w:line="440" w:lineRule="exact"/>
        <w:ind w:firstLine="458"/>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四、本办法自发文之日起执行，由教务处负责解释。</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附件：内江师范学院免修申请表</w:t>
      </w:r>
    </w:p>
    <w:p>
      <w:pPr>
        <w:spacing w:line="440" w:lineRule="exact"/>
        <w:ind w:left="3574" w:hanging="3573" w:hangingChars="1489"/>
        <w:jc w:val="right"/>
        <w:rPr>
          <w:rFonts w:asciiTheme="minorEastAsia" w:hAnsiTheme="minorEastAsia"/>
          <w:sz w:val="24"/>
          <w:szCs w:val="24"/>
        </w:rPr>
      </w:pPr>
    </w:p>
    <w:p>
      <w:pPr>
        <w:spacing w:line="440" w:lineRule="exact"/>
        <w:ind w:left="3574" w:hanging="3573" w:hangingChars="1489"/>
        <w:jc w:val="right"/>
        <w:rPr>
          <w:rFonts w:asciiTheme="minorEastAsia" w:hAnsiTheme="minorEastAsia"/>
          <w:sz w:val="24"/>
          <w:szCs w:val="24"/>
        </w:rPr>
      </w:pPr>
      <w:r>
        <w:rPr>
          <w:rFonts w:hint="eastAsia" w:asciiTheme="minorEastAsia" w:hAnsiTheme="minorEastAsia"/>
          <w:sz w:val="24"/>
          <w:szCs w:val="24"/>
        </w:rPr>
        <w:t>2013年7月9日</w:t>
      </w:r>
    </w:p>
    <w:p>
      <w:pPr>
        <w:spacing w:line="360" w:lineRule="auto"/>
        <w:rPr>
          <w:rFonts w:asciiTheme="minorEastAsia" w:hAnsiTheme="minorEastAsia"/>
          <w:b/>
          <w:sz w:val="28"/>
          <w:szCs w:val="28"/>
        </w:rPr>
      </w:pPr>
      <w:r>
        <w:rPr>
          <w:rFonts w:hint="eastAsia" w:asciiTheme="minorEastAsia" w:hAnsiTheme="minorEastAsia"/>
          <w:b/>
          <w:sz w:val="28"/>
          <w:szCs w:val="28"/>
        </w:rPr>
        <w:t>附件</w:t>
      </w:r>
    </w:p>
    <w:p>
      <w:pPr>
        <w:jc w:val="center"/>
        <w:rPr>
          <w:b/>
          <w:sz w:val="32"/>
          <w:szCs w:val="32"/>
        </w:rPr>
      </w:pPr>
      <w:r>
        <w:rPr>
          <w:rFonts w:hint="eastAsia"/>
          <w:b/>
          <w:sz w:val="32"/>
          <w:szCs w:val="32"/>
        </w:rPr>
        <w:t>内江师范学院免修申请表</w:t>
      </w:r>
    </w:p>
    <w:p>
      <w:pPr>
        <w:ind w:right="960"/>
        <w:jc w:val="right"/>
        <w:rPr>
          <w:sz w:val="24"/>
          <w:szCs w:val="24"/>
        </w:rPr>
      </w:pPr>
      <w:r>
        <w:rPr>
          <w:rFonts w:hint="eastAsia"/>
          <w:sz w:val="24"/>
          <w:szCs w:val="24"/>
        </w:rPr>
        <w:t>年    月    日</w:t>
      </w:r>
    </w:p>
    <w:tbl>
      <w:tblPr>
        <w:tblStyle w:val="1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900"/>
        <w:gridCol w:w="1619"/>
        <w:gridCol w:w="720"/>
        <w:gridCol w:w="1080"/>
        <w:gridCol w:w="1079"/>
        <w:gridCol w:w="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28" w:type="dxa"/>
            <w:gridSpan w:val="2"/>
            <w:vAlign w:val="center"/>
          </w:tcPr>
          <w:p>
            <w:pPr>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姓名</w:t>
            </w:r>
          </w:p>
        </w:tc>
        <w:tc>
          <w:tcPr>
            <w:tcW w:w="2519" w:type="dxa"/>
            <w:gridSpan w:val="2"/>
            <w:vAlign w:val="center"/>
          </w:tcPr>
          <w:p>
            <w:pPr>
              <w:rPr>
                <w:rFonts w:ascii="Times New Roman" w:hAnsi="Times New Roman" w:eastAsia="宋体" w:cs="Times New Roman"/>
                <w:b/>
                <w:kern w:val="0"/>
                <w:sz w:val="24"/>
              </w:rPr>
            </w:pPr>
          </w:p>
        </w:tc>
        <w:tc>
          <w:tcPr>
            <w:tcW w:w="720" w:type="dxa"/>
            <w:vAlign w:val="center"/>
          </w:tcPr>
          <w:p>
            <w:pPr>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学号</w:t>
            </w:r>
          </w:p>
        </w:tc>
        <w:tc>
          <w:tcPr>
            <w:tcW w:w="2159" w:type="dxa"/>
            <w:gridSpan w:val="2"/>
            <w:vAlign w:val="center"/>
          </w:tcPr>
          <w:p>
            <w:pPr>
              <w:rPr>
                <w:rFonts w:ascii="Times New Roman" w:hAnsi="Times New Roman" w:eastAsia="宋体" w:cs="Times New Roman"/>
                <w:b/>
                <w:kern w:val="0"/>
                <w:sz w:val="24"/>
              </w:rPr>
            </w:pPr>
          </w:p>
        </w:tc>
        <w:tc>
          <w:tcPr>
            <w:tcW w:w="720" w:type="dxa"/>
            <w:vAlign w:val="center"/>
          </w:tcPr>
          <w:p>
            <w:pPr>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班级</w:t>
            </w:r>
          </w:p>
        </w:tc>
        <w:tc>
          <w:tcPr>
            <w:tcW w:w="2066" w:type="dxa"/>
            <w:vAlign w:val="center"/>
          </w:tcPr>
          <w:p>
            <w:pPr>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728" w:type="dxa"/>
            <w:gridSpan w:val="3"/>
            <w:vAlign w:val="center"/>
          </w:tcPr>
          <w:p>
            <w:pPr>
              <w:rPr>
                <w:rFonts w:ascii="Times New Roman" w:hAnsi="Times New Roman" w:eastAsia="宋体" w:cs="Times New Roman"/>
                <w:b/>
                <w:kern w:val="0"/>
                <w:sz w:val="24"/>
              </w:rPr>
            </w:pPr>
            <w:r>
              <w:rPr>
                <w:rFonts w:hint="eastAsia" w:ascii="Times New Roman" w:hAnsi="Times New Roman" w:eastAsia="宋体" w:cs="Times New Roman"/>
                <w:b/>
                <w:kern w:val="0"/>
                <w:sz w:val="24"/>
              </w:rPr>
              <w:t>学生所在学院</w:t>
            </w:r>
          </w:p>
        </w:tc>
        <w:tc>
          <w:tcPr>
            <w:tcW w:w="1619" w:type="dxa"/>
            <w:vAlign w:val="center"/>
          </w:tcPr>
          <w:p>
            <w:pPr>
              <w:rPr>
                <w:rFonts w:ascii="Times New Roman" w:hAnsi="Times New Roman" w:eastAsia="宋体" w:cs="Times New Roman"/>
                <w:b/>
                <w:kern w:val="0"/>
                <w:sz w:val="24"/>
              </w:rPr>
            </w:pPr>
          </w:p>
        </w:tc>
        <w:tc>
          <w:tcPr>
            <w:tcW w:w="1800" w:type="dxa"/>
            <w:gridSpan w:val="2"/>
            <w:vAlign w:val="center"/>
          </w:tcPr>
          <w:p>
            <w:pPr>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专业</w:t>
            </w:r>
          </w:p>
        </w:tc>
        <w:tc>
          <w:tcPr>
            <w:tcW w:w="3865" w:type="dxa"/>
            <w:gridSpan w:val="3"/>
            <w:vAlign w:val="center"/>
          </w:tcPr>
          <w:p>
            <w:pPr>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728" w:type="dxa"/>
            <w:gridSpan w:val="3"/>
            <w:vAlign w:val="center"/>
          </w:tcPr>
          <w:p>
            <w:pPr>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申请免修科目</w:t>
            </w:r>
          </w:p>
        </w:tc>
        <w:tc>
          <w:tcPr>
            <w:tcW w:w="7284" w:type="dxa"/>
            <w:gridSpan w:val="6"/>
          </w:tcPr>
          <w:p>
            <w:pPr>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trPr>
        <w:tc>
          <w:tcPr>
            <w:tcW w:w="9012" w:type="dxa"/>
            <w:gridSpan w:val="9"/>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68"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教学秘书核查</w:t>
            </w:r>
          </w:p>
        </w:tc>
        <w:tc>
          <w:tcPr>
            <w:tcW w:w="8544" w:type="dxa"/>
            <w:gridSpan w:val="8"/>
          </w:tcPr>
          <w:p>
            <w:pPr>
              <w:rPr>
                <w:rFonts w:ascii="Times New Roman" w:hAnsi="Times New Roman" w:eastAsia="宋体" w:cs="Times New Roman"/>
                <w:kern w:val="0"/>
                <w:sz w:val="24"/>
              </w:rPr>
            </w:pPr>
          </w:p>
          <w:p>
            <w:pPr>
              <w:rPr>
                <w:rFonts w:ascii="Times New Roman" w:hAnsi="Times New Roman" w:eastAsia="宋体" w:cs="Times New Roman"/>
                <w:kern w:val="0"/>
                <w:sz w:val="24"/>
              </w:rPr>
            </w:pPr>
          </w:p>
          <w:p>
            <w:pPr>
              <w:rPr>
                <w:rFonts w:ascii="Times New Roman" w:hAnsi="Times New Roman" w:eastAsia="宋体" w:cs="Times New Roman"/>
                <w:kern w:val="0"/>
                <w:sz w:val="24"/>
              </w:rPr>
            </w:pPr>
          </w:p>
          <w:p>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pPr>
              <w:tabs>
                <w:tab w:val="left" w:pos="5037"/>
              </w:tabs>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教学秘书签字：</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468"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二级学院意见</w:t>
            </w:r>
          </w:p>
        </w:tc>
        <w:tc>
          <w:tcPr>
            <w:tcW w:w="8544" w:type="dxa"/>
            <w:gridSpan w:val="8"/>
            <w:vAlign w:val="center"/>
          </w:tcPr>
          <w:p>
            <w:pPr>
              <w:rPr>
                <w:rFonts w:ascii="Times New Roman" w:hAnsi="Times New Roman" w:eastAsia="宋体" w:cs="Times New Roman"/>
                <w:b/>
                <w:kern w:val="0"/>
                <w:szCs w:val="21"/>
              </w:rPr>
            </w:pPr>
          </w:p>
          <w:p>
            <w:pPr>
              <w:rPr>
                <w:rFonts w:ascii="Times New Roman" w:hAnsi="Times New Roman" w:eastAsia="宋体" w:cs="Times New Roman"/>
                <w:b/>
                <w:kern w:val="0"/>
                <w:szCs w:val="21"/>
              </w:rPr>
            </w:pPr>
          </w:p>
          <w:p>
            <w:pPr>
              <w:rPr>
                <w:rFonts w:ascii="Times New Roman" w:hAnsi="Times New Roman" w:eastAsia="宋体" w:cs="Times New Roman"/>
                <w:kern w:val="0"/>
                <w:sz w:val="24"/>
              </w:rPr>
            </w:pPr>
            <w:r>
              <w:rPr>
                <w:rFonts w:hint="eastAsia" w:ascii="Times New Roman" w:hAnsi="Times New Roman" w:eastAsia="宋体" w:cs="Times New Roman"/>
                <w:b/>
                <w:kern w:val="0"/>
                <w:szCs w:val="21"/>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负责人签字：</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（公章）</w:t>
            </w:r>
          </w:p>
          <w:p>
            <w:pPr>
              <w:rPr>
                <w:rFonts w:ascii="Times New Roman" w:hAnsi="Times New Roman" w:eastAsia="宋体" w:cs="Times New Roman"/>
                <w:b/>
                <w:kern w:val="0"/>
                <w:szCs w:val="21"/>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468"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教务处审核</w:t>
            </w:r>
          </w:p>
        </w:tc>
        <w:tc>
          <w:tcPr>
            <w:tcW w:w="8544" w:type="dxa"/>
            <w:gridSpan w:val="8"/>
            <w:vAlign w:val="center"/>
          </w:tcPr>
          <w:p>
            <w:pPr>
              <w:rPr>
                <w:rFonts w:ascii="Times New Roman" w:hAnsi="Times New Roman" w:eastAsia="宋体" w:cs="Times New Roman"/>
                <w:b/>
                <w:kern w:val="0"/>
                <w:szCs w:val="21"/>
              </w:rPr>
            </w:pP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                                 </w:t>
            </w:r>
          </w:p>
          <w:p>
            <w:pPr>
              <w:tabs>
                <w:tab w:val="left" w:pos="5037"/>
                <w:tab w:val="left" w:pos="5401"/>
              </w:tabs>
              <w:rPr>
                <w:rFonts w:ascii="Times New Roman" w:hAnsi="Times New Roman" w:eastAsia="宋体" w:cs="Times New Roman"/>
                <w:kern w:val="0"/>
                <w:sz w:val="24"/>
              </w:rPr>
            </w:pPr>
            <w:r>
              <w:rPr>
                <w:rFonts w:hint="eastAsia" w:ascii="Times New Roman" w:hAnsi="Times New Roman" w:eastAsia="宋体" w:cs="Times New Roman"/>
                <w:b/>
                <w:kern w:val="0"/>
                <w:szCs w:val="21"/>
              </w:rPr>
              <w:t xml:space="preserve">                               </w:t>
            </w:r>
            <w:r>
              <w:rPr>
                <w:rFonts w:hint="eastAsia" w:ascii="Times New Roman" w:hAnsi="Times New Roman" w:eastAsia="宋体" w:cs="Times New Roman"/>
                <w:kern w:val="0"/>
                <w:sz w:val="24"/>
              </w:rPr>
              <w:t>签字：</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（公章）</w:t>
            </w:r>
          </w:p>
          <w:p>
            <w:pPr>
              <w:rPr>
                <w:rFonts w:ascii="Times New Roman" w:hAnsi="Times New Roman" w:eastAsia="宋体" w:cs="Times New Roman"/>
                <w:b/>
                <w:kern w:val="0"/>
                <w:szCs w:val="21"/>
              </w:rPr>
            </w:pP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468" w:type="dxa"/>
            <w:vAlign w:val="center"/>
          </w:tcPr>
          <w:p>
            <w:pPr>
              <w:jc w:val="center"/>
              <w:rPr>
                <w:rFonts w:ascii="宋体" w:hAnsi="宋体" w:eastAsia="宋体" w:cs="Times New Roman"/>
                <w:b/>
                <w:kern w:val="0"/>
                <w:szCs w:val="21"/>
              </w:rPr>
            </w:pPr>
            <w:r>
              <w:rPr>
                <w:rFonts w:hint="eastAsia" w:ascii="宋体" w:hAnsi="宋体" w:eastAsia="宋体" w:cs="Times New Roman"/>
                <w:b/>
                <w:kern w:val="0"/>
                <w:szCs w:val="21"/>
              </w:rPr>
              <w:t>备注</w:t>
            </w:r>
          </w:p>
        </w:tc>
        <w:tc>
          <w:tcPr>
            <w:tcW w:w="8544" w:type="dxa"/>
            <w:gridSpan w:val="8"/>
            <w:vAlign w:val="center"/>
          </w:tcPr>
          <w:p>
            <w:pPr>
              <w:jc w:val="center"/>
              <w:rPr>
                <w:rFonts w:ascii="Times New Roman" w:hAnsi="Times New Roman" w:eastAsia="宋体" w:cs="Times New Roman"/>
                <w:kern w:val="0"/>
              </w:rPr>
            </w:pPr>
          </w:p>
        </w:tc>
      </w:tr>
    </w:tbl>
    <w:p>
      <w:pPr>
        <w:pStyle w:val="19"/>
        <w:spacing w:line="460" w:lineRule="exact"/>
        <w:ind w:firstLine="0" w:firstLineChars="0"/>
        <w:rPr>
          <w:rFonts w:ascii="宋体" w:hAnsi="宋体"/>
          <w:sz w:val="24"/>
          <w:szCs w:val="24"/>
        </w:rPr>
      </w:pPr>
      <w:r>
        <w:rPr>
          <w:rFonts w:hint="eastAsia"/>
        </w:rPr>
        <w:t>注意：本表一式两份，一份交学生所在二级学院保存，一份交教务处备案。</w:t>
      </w: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ind w:left="57" w:right="57"/>
        <w:jc w:val="center"/>
        <w:rPr>
          <w:rFonts w:asciiTheme="majorEastAsia" w:hAnsiTheme="majorEastAsia" w:eastAsiaTheme="majorEastAsia"/>
          <w:b/>
          <w:bCs/>
          <w:szCs w:val="32"/>
        </w:rPr>
      </w:pPr>
      <w:r>
        <w:rPr>
          <w:rFonts w:hint="eastAsia" w:asciiTheme="majorEastAsia" w:hAnsiTheme="majorEastAsia" w:eastAsiaTheme="majorEastAsia"/>
          <w:b/>
          <w:bCs/>
          <w:sz w:val="32"/>
          <w:szCs w:val="32"/>
        </w:rPr>
        <w:t>内江师范学院课程重修管理办法（修订）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内师教字〔2013〕74号</w:t>
      </w:r>
    </w:p>
    <w:p>
      <w:pPr>
        <w:spacing w:line="560" w:lineRule="exact"/>
        <w:ind w:left="57" w:right="57"/>
        <w:jc w:val="center"/>
        <w:rPr>
          <w:rFonts w:ascii="方正仿宋简体" w:eastAsia="方正仿宋简体"/>
          <w:b/>
          <w:bCs/>
          <w:sz w:val="28"/>
          <w:szCs w:val="28"/>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为了配合《内江师范学院学生学籍管理实施细则（修订）》的实施，规范教学秩序，保证教学质量，进一步调动学生学习的主动性和积极性，对课程重修管理办法作如下修订：</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一、课程重修对象</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补考不及格者；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取消考试资格、无故旷考、考试违纪作弊者；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课程无故旷课达总学时的三分之一及以上者（获准部分免听者除外）；</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独立实验课程、实践类课程不合格者；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课程重修不及格，补考后，仍不及格者；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 对某门课程学习效果不满意者；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 因其他原因必须重修者。</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二、课程重修方式与时间安排</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课程重修方式分编班上课、跟下一年级班级听课、个别辅导和免听考试四种，以编班重修和跟班重修为主，以教师辅导为辅。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① 编班重修。当报名重修同一门课程的学生超过50人时，开课二级学院将开设专门的重修班，并委派教师定时定点地对学生进行重修辅导授课，重修课程编班教学按该门课程规定学时安排授课。</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② 跟下一年级班级重修。在教学条件许可的情况下，安排重修学生跟开课班学习，完成重修。当重修同学的正常课程与重修课程在时间上部分冲突时，允许其免听冲突部分的课程，但须办理免听手续，认真自修并按时完成作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③ 教师个别辅导。当报名重修同一门课程的学生少于50人，且无法跟班重修时，开课二级学院应委派教师对重修学生进行单独辅导，单独辅导需达到该门课程学时要求。</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④ 免听。免听需由本人提出申请，任课教师同意，经开课学院批准，教务处备案。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课程重修编班上课或个别辅导时间均不得与正常上课时间冲突，双休日、自习时间或假期均可为课程重修的上课时间。</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三、课程重修的管理及考试要求</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课程重修的教学由开课单位进行组织，教学安排报教务处备案。日常管理由各二级学院负责，教务处随时抽查。</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担任重修课程教学的教师应严格按照《内江师范学院教师教学工作规范》的有关要求组织教学，并依据相应课程的《教学大纲》进行授课，坚决杜绝随意降低教学要求与考核要求的行为。</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任课教师应严格要求学生，对编班开课和跟班重修的学生，若其缺课或不按时完成作业达三分之一时，除按规定给予纪律处分外，不得参加该课程考试，并将其相应的重修成绩记为零分，并视为给了一次重修机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负责重修辅导的教师，应根据课程及重修学生的实际情况制定出可行的辅导计划，单独辅导的学生应严格按照任课教师确定的辅导计划参加重修学习，并按时完成教师布置的作业，参加考试，对于办理了重修手续，不按规定参加辅导或缺交作业达三分之一者，指导教师有权取消其参加重修考试资格，并将其相应重修成绩记为零分或不及格，视作给予了一次重修机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重修课程的考试（查）随开设年级同时进行。如果重修课程的考试（查）与教学计划所规定的课程考试相冲突时，应参加教学计划课程的考试（查），重修课程办理缓考手续。特殊情况需单独命题考试的，由开课二级学院组织，单独命题考试不得降低要求。</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 课程重修的总评成绩由平时成绩和重修考试期末成绩构成，由任课教师综合评定。</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 学生申请缴费重修，课程成绩以最高分记入档案，注明“重修”字样。</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四、重修申请与收费</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需要参加课程重修的同学，应在每学期开学两周内向所在二级学院及课程开设二级学院提出重修申请，填写申请表，并在学校计财处交纳相应的重修费。逾期不申请者视为自动放弃本次重修机会，只能参加以后的重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为不影响正常课程的学习，一般每个学生每学期重修的课程不能超过三门。</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重修收费标准按相关规定执行。</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五、本办法自公布之日起实行，由教务处负责解释。</w:t>
      </w:r>
    </w:p>
    <w:p>
      <w:pPr>
        <w:pStyle w:val="19"/>
        <w:spacing w:line="360" w:lineRule="auto"/>
        <w:ind w:firstLine="480"/>
        <w:rPr>
          <w:rFonts w:asciiTheme="minorEastAsia" w:hAnsiTheme="minorEastAsia" w:eastAsiaTheme="minorEastAsia"/>
          <w:sz w:val="24"/>
          <w:szCs w:val="24"/>
        </w:rPr>
      </w:pPr>
    </w:p>
    <w:p>
      <w:pPr>
        <w:pStyle w:val="19"/>
        <w:spacing w:line="360" w:lineRule="auto"/>
        <w:ind w:firstLine="480"/>
        <w:rPr>
          <w:rFonts w:asciiTheme="minorEastAsia" w:hAnsiTheme="minorEastAsia" w:eastAsiaTheme="minorEastAsia"/>
          <w:sz w:val="24"/>
          <w:szCs w:val="24"/>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附件：内江师范学院学生课程重修申请表</w:t>
      </w:r>
    </w:p>
    <w:p>
      <w:pPr>
        <w:spacing w:line="360" w:lineRule="auto"/>
        <w:ind w:left="3574" w:hanging="3573" w:hangingChars="1489"/>
        <w:rPr>
          <w:rFonts w:asciiTheme="minorEastAsia" w:hAnsiTheme="minorEastAsia"/>
          <w:sz w:val="24"/>
          <w:szCs w:val="24"/>
        </w:rPr>
      </w:pPr>
    </w:p>
    <w:p>
      <w:pPr>
        <w:spacing w:line="360" w:lineRule="auto"/>
        <w:ind w:right="960"/>
        <w:jc w:val="right"/>
        <w:rPr>
          <w:rFonts w:asciiTheme="minorEastAsia" w:hAnsiTheme="minorEastAsia"/>
          <w:sz w:val="24"/>
          <w:szCs w:val="24"/>
        </w:rPr>
      </w:pPr>
      <w:r>
        <w:rPr>
          <w:rFonts w:hint="eastAsia" w:asciiTheme="minorEastAsia" w:hAnsiTheme="minorEastAsia"/>
          <w:sz w:val="24"/>
          <w:szCs w:val="24"/>
        </w:rPr>
        <w:t>2013年7月9日</w:t>
      </w:r>
    </w:p>
    <w:p>
      <w:pPr>
        <w:spacing w:line="360" w:lineRule="auto"/>
        <w:ind w:right="57"/>
        <w:jc w:val="left"/>
        <w:rPr>
          <w:b/>
          <w:sz w:val="28"/>
          <w:szCs w:val="28"/>
        </w:rPr>
      </w:pPr>
    </w:p>
    <w:p>
      <w:pPr>
        <w:spacing w:line="360" w:lineRule="auto"/>
        <w:ind w:right="57"/>
        <w:jc w:val="left"/>
        <w:rPr>
          <w:b/>
          <w:sz w:val="28"/>
          <w:szCs w:val="28"/>
        </w:rPr>
      </w:pPr>
      <w:r>
        <w:rPr>
          <w:rFonts w:hint="eastAsia"/>
          <w:b/>
          <w:sz w:val="28"/>
          <w:szCs w:val="28"/>
        </w:rPr>
        <w:t>附件</w:t>
      </w:r>
    </w:p>
    <w:p>
      <w:pPr>
        <w:spacing w:line="360" w:lineRule="auto"/>
        <w:ind w:right="57"/>
        <w:jc w:val="center"/>
        <w:rPr>
          <w:b/>
          <w:sz w:val="32"/>
          <w:szCs w:val="32"/>
        </w:rPr>
      </w:pPr>
      <w:r>
        <w:rPr>
          <w:rFonts w:hint="eastAsia"/>
          <w:b/>
          <w:sz w:val="32"/>
          <w:szCs w:val="32"/>
        </w:rPr>
        <w:t>内江师范学院学生课程重修申请表</w:t>
      </w:r>
    </w:p>
    <w:tbl>
      <w:tblPr>
        <w:tblStyle w:val="15"/>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5"/>
        <w:gridCol w:w="1744"/>
        <w:gridCol w:w="1443"/>
        <w:gridCol w:w="1620"/>
        <w:gridCol w:w="125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45" w:type="dxa"/>
            <w:vAlign w:val="center"/>
          </w:tcPr>
          <w:p>
            <w:pPr>
              <w:spacing w:line="440" w:lineRule="exact"/>
              <w:ind w:right="57"/>
              <w:jc w:val="center"/>
              <w:rPr>
                <w:bCs/>
                <w:sz w:val="22"/>
              </w:rPr>
            </w:pPr>
            <w:r>
              <w:rPr>
                <w:rFonts w:hint="eastAsia"/>
                <w:bCs/>
                <w:sz w:val="22"/>
              </w:rPr>
              <w:t>学生所在学院</w:t>
            </w:r>
          </w:p>
        </w:tc>
        <w:tc>
          <w:tcPr>
            <w:tcW w:w="1744" w:type="dxa"/>
            <w:vAlign w:val="center"/>
          </w:tcPr>
          <w:p>
            <w:pPr>
              <w:spacing w:line="440" w:lineRule="exact"/>
              <w:ind w:right="57"/>
              <w:jc w:val="center"/>
              <w:rPr>
                <w:bCs/>
                <w:sz w:val="22"/>
              </w:rPr>
            </w:pPr>
          </w:p>
        </w:tc>
        <w:tc>
          <w:tcPr>
            <w:tcW w:w="1443" w:type="dxa"/>
            <w:vAlign w:val="center"/>
          </w:tcPr>
          <w:p>
            <w:pPr>
              <w:spacing w:line="440" w:lineRule="exact"/>
              <w:ind w:right="57"/>
              <w:jc w:val="center"/>
              <w:rPr>
                <w:bCs/>
                <w:sz w:val="22"/>
              </w:rPr>
            </w:pPr>
            <w:r>
              <w:rPr>
                <w:rFonts w:hint="eastAsia"/>
                <w:bCs/>
                <w:sz w:val="22"/>
              </w:rPr>
              <w:t>学号</w:t>
            </w:r>
          </w:p>
        </w:tc>
        <w:tc>
          <w:tcPr>
            <w:tcW w:w="1620" w:type="dxa"/>
            <w:vAlign w:val="center"/>
          </w:tcPr>
          <w:p>
            <w:pPr>
              <w:spacing w:line="440" w:lineRule="exact"/>
              <w:ind w:right="57"/>
              <w:jc w:val="center"/>
              <w:rPr>
                <w:bCs/>
                <w:sz w:val="22"/>
              </w:rPr>
            </w:pPr>
          </w:p>
        </w:tc>
        <w:tc>
          <w:tcPr>
            <w:tcW w:w="1257" w:type="dxa"/>
            <w:vAlign w:val="center"/>
          </w:tcPr>
          <w:p>
            <w:pPr>
              <w:spacing w:line="440" w:lineRule="exact"/>
              <w:ind w:right="57"/>
              <w:jc w:val="center"/>
              <w:rPr>
                <w:bCs/>
                <w:sz w:val="22"/>
              </w:rPr>
            </w:pPr>
            <w:r>
              <w:rPr>
                <w:rFonts w:hint="eastAsia"/>
                <w:bCs/>
                <w:sz w:val="22"/>
              </w:rPr>
              <w:t>班级</w:t>
            </w:r>
          </w:p>
        </w:tc>
        <w:tc>
          <w:tcPr>
            <w:tcW w:w="1136" w:type="dxa"/>
            <w:vAlign w:val="center"/>
          </w:tcPr>
          <w:p>
            <w:pPr>
              <w:spacing w:line="440" w:lineRule="exact"/>
              <w:ind w:right="57"/>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1445" w:type="dxa"/>
            <w:vAlign w:val="center"/>
          </w:tcPr>
          <w:p>
            <w:pPr>
              <w:spacing w:line="440" w:lineRule="exact"/>
              <w:ind w:right="57"/>
              <w:jc w:val="center"/>
              <w:rPr>
                <w:bCs/>
                <w:sz w:val="22"/>
              </w:rPr>
            </w:pPr>
            <w:r>
              <w:rPr>
                <w:rFonts w:hint="eastAsia"/>
                <w:bCs/>
                <w:sz w:val="22"/>
              </w:rPr>
              <w:t>姓  名</w:t>
            </w:r>
          </w:p>
        </w:tc>
        <w:tc>
          <w:tcPr>
            <w:tcW w:w="1744" w:type="dxa"/>
            <w:vAlign w:val="center"/>
          </w:tcPr>
          <w:p>
            <w:pPr>
              <w:spacing w:line="440" w:lineRule="exact"/>
              <w:ind w:right="57"/>
              <w:jc w:val="center"/>
              <w:rPr>
                <w:bCs/>
                <w:sz w:val="22"/>
              </w:rPr>
            </w:pPr>
          </w:p>
        </w:tc>
        <w:tc>
          <w:tcPr>
            <w:tcW w:w="1443" w:type="dxa"/>
            <w:vAlign w:val="center"/>
          </w:tcPr>
          <w:p>
            <w:pPr>
              <w:spacing w:line="440" w:lineRule="exact"/>
              <w:ind w:right="57"/>
              <w:jc w:val="center"/>
              <w:rPr>
                <w:bCs/>
                <w:sz w:val="22"/>
              </w:rPr>
            </w:pPr>
            <w:r>
              <w:rPr>
                <w:rFonts w:hint="eastAsia"/>
                <w:bCs/>
                <w:sz w:val="22"/>
              </w:rPr>
              <w:t>专业</w:t>
            </w:r>
          </w:p>
        </w:tc>
        <w:tc>
          <w:tcPr>
            <w:tcW w:w="4013" w:type="dxa"/>
            <w:gridSpan w:val="3"/>
            <w:vAlign w:val="center"/>
          </w:tcPr>
          <w:p>
            <w:pPr>
              <w:spacing w:line="440" w:lineRule="exact"/>
              <w:ind w:right="57"/>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1445" w:type="dxa"/>
            <w:vAlign w:val="center"/>
          </w:tcPr>
          <w:p>
            <w:pPr>
              <w:spacing w:line="380" w:lineRule="exact"/>
              <w:ind w:right="57"/>
              <w:jc w:val="center"/>
              <w:rPr>
                <w:bCs/>
                <w:sz w:val="22"/>
              </w:rPr>
            </w:pPr>
            <w:r>
              <w:rPr>
                <w:rFonts w:hint="eastAsia"/>
                <w:bCs/>
                <w:sz w:val="22"/>
              </w:rPr>
              <w:t>重修</w:t>
            </w:r>
          </w:p>
          <w:p>
            <w:pPr>
              <w:spacing w:line="380" w:lineRule="exact"/>
              <w:ind w:right="57"/>
              <w:jc w:val="center"/>
              <w:rPr>
                <w:bCs/>
                <w:sz w:val="22"/>
              </w:rPr>
            </w:pPr>
            <w:r>
              <w:rPr>
                <w:rFonts w:hint="eastAsia"/>
                <w:bCs/>
                <w:sz w:val="22"/>
              </w:rPr>
              <w:t>课程名称</w:t>
            </w:r>
          </w:p>
        </w:tc>
        <w:tc>
          <w:tcPr>
            <w:tcW w:w="1744" w:type="dxa"/>
            <w:vAlign w:val="center"/>
          </w:tcPr>
          <w:p>
            <w:pPr>
              <w:spacing w:line="440" w:lineRule="exact"/>
              <w:ind w:right="57"/>
              <w:jc w:val="center"/>
              <w:rPr>
                <w:bCs/>
                <w:sz w:val="22"/>
              </w:rPr>
            </w:pPr>
          </w:p>
        </w:tc>
        <w:tc>
          <w:tcPr>
            <w:tcW w:w="1443" w:type="dxa"/>
            <w:vAlign w:val="center"/>
          </w:tcPr>
          <w:p>
            <w:pPr>
              <w:spacing w:line="380" w:lineRule="exact"/>
              <w:ind w:right="57"/>
              <w:jc w:val="center"/>
              <w:rPr>
                <w:bCs/>
                <w:sz w:val="22"/>
              </w:rPr>
            </w:pPr>
            <w:r>
              <w:rPr>
                <w:rFonts w:hint="eastAsia"/>
                <w:bCs/>
                <w:sz w:val="22"/>
              </w:rPr>
              <w:t>重修</w:t>
            </w:r>
          </w:p>
          <w:p>
            <w:pPr>
              <w:spacing w:line="380" w:lineRule="exact"/>
              <w:ind w:right="57"/>
              <w:jc w:val="center"/>
              <w:rPr>
                <w:bCs/>
                <w:sz w:val="22"/>
              </w:rPr>
            </w:pPr>
            <w:r>
              <w:rPr>
                <w:rFonts w:hint="eastAsia"/>
                <w:bCs/>
                <w:sz w:val="22"/>
              </w:rPr>
              <w:t>课程号</w:t>
            </w:r>
          </w:p>
        </w:tc>
        <w:tc>
          <w:tcPr>
            <w:tcW w:w="1620" w:type="dxa"/>
            <w:vAlign w:val="center"/>
          </w:tcPr>
          <w:p>
            <w:pPr>
              <w:spacing w:line="440" w:lineRule="exact"/>
              <w:ind w:right="57"/>
              <w:jc w:val="center"/>
              <w:rPr>
                <w:bCs/>
                <w:sz w:val="22"/>
              </w:rPr>
            </w:pPr>
          </w:p>
        </w:tc>
        <w:tc>
          <w:tcPr>
            <w:tcW w:w="1257" w:type="dxa"/>
            <w:vAlign w:val="center"/>
          </w:tcPr>
          <w:p>
            <w:pPr>
              <w:spacing w:line="440" w:lineRule="exact"/>
              <w:ind w:right="57"/>
              <w:jc w:val="center"/>
              <w:rPr>
                <w:bCs/>
                <w:sz w:val="22"/>
              </w:rPr>
            </w:pPr>
            <w:r>
              <w:rPr>
                <w:rFonts w:hint="eastAsia"/>
                <w:bCs/>
                <w:sz w:val="22"/>
              </w:rPr>
              <w:t>学分</w:t>
            </w:r>
          </w:p>
        </w:tc>
        <w:tc>
          <w:tcPr>
            <w:tcW w:w="1136" w:type="dxa"/>
            <w:vAlign w:val="center"/>
          </w:tcPr>
          <w:p>
            <w:pPr>
              <w:spacing w:line="440" w:lineRule="exact"/>
              <w:ind w:right="57"/>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trPr>
        <w:tc>
          <w:tcPr>
            <w:tcW w:w="1445" w:type="dxa"/>
            <w:vAlign w:val="center"/>
          </w:tcPr>
          <w:p>
            <w:pPr>
              <w:spacing w:line="440" w:lineRule="exact"/>
              <w:ind w:right="57"/>
              <w:jc w:val="center"/>
              <w:rPr>
                <w:bCs/>
                <w:sz w:val="22"/>
              </w:rPr>
            </w:pPr>
            <w:r>
              <w:rPr>
                <w:rFonts w:hint="eastAsia"/>
                <w:bCs/>
                <w:sz w:val="22"/>
              </w:rPr>
              <w:t>开课学院</w:t>
            </w:r>
          </w:p>
        </w:tc>
        <w:tc>
          <w:tcPr>
            <w:tcW w:w="1744" w:type="dxa"/>
            <w:vAlign w:val="center"/>
          </w:tcPr>
          <w:p>
            <w:pPr>
              <w:spacing w:line="440" w:lineRule="exact"/>
              <w:ind w:right="57"/>
              <w:jc w:val="center"/>
              <w:rPr>
                <w:bCs/>
                <w:sz w:val="22"/>
              </w:rPr>
            </w:pPr>
          </w:p>
        </w:tc>
        <w:tc>
          <w:tcPr>
            <w:tcW w:w="1443" w:type="dxa"/>
            <w:vAlign w:val="center"/>
          </w:tcPr>
          <w:p>
            <w:pPr>
              <w:spacing w:line="380" w:lineRule="exact"/>
              <w:ind w:right="57"/>
              <w:jc w:val="center"/>
              <w:rPr>
                <w:bCs/>
                <w:sz w:val="22"/>
              </w:rPr>
            </w:pPr>
            <w:r>
              <w:rPr>
                <w:rFonts w:hint="eastAsia"/>
                <w:bCs/>
                <w:sz w:val="22"/>
              </w:rPr>
              <w:t>课程考试</w:t>
            </w:r>
          </w:p>
          <w:p>
            <w:pPr>
              <w:spacing w:line="380" w:lineRule="exact"/>
              <w:ind w:right="57"/>
              <w:jc w:val="center"/>
              <w:rPr>
                <w:bCs/>
                <w:sz w:val="22"/>
              </w:rPr>
            </w:pPr>
            <w:r>
              <w:rPr>
                <w:rFonts w:hint="eastAsia"/>
                <w:bCs/>
                <w:sz w:val="22"/>
              </w:rPr>
              <w:t>成绩</w:t>
            </w:r>
          </w:p>
        </w:tc>
        <w:tc>
          <w:tcPr>
            <w:tcW w:w="1620" w:type="dxa"/>
            <w:vAlign w:val="center"/>
          </w:tcPr>
          <w:p>
            <w:pPr>
              <w:spacing w:line="440" w:lineRule="exact"/>
              <w:ind w:right="57"/>
              <w:jc w:val="center"/>
              <w:rPr>
                <w:bCs/>
                <w:sz w:val="22"/>
              </w:rPr>
            </w:pPr>
          </w:p>
        </w:tc>
        <w:tc>
          <w:tcPr>
            <w:tcW w:w="1257" w:type="dxa"/>
            <w:vAlign w:val="center"/>
          </w:tcPr>
          <w:p>
            <w:pPr>
              <w:spacing w:line="380" w:lineRule="exact"/>
              <w:ind w:right="57"/>
              <w:jc w:val="center"/>
              <w:rPr>
                <w:bCs/>
                <w:sz w:val="22"/>
              </w:rPr>
            </w:pPr>
            <w:r>
              <w:rPr>
                <w:rFonts w:hint="eastAsia"/>
                <w:bCs/>
                <w:sz w:val="22"/>
              </w:rPr>
              <w:t>重修课程</w:t>
            </w:r>
          </w:p>
          <w:p>
            <w:pPr>
              <w:spacing w:line="380" w:lineRule="exact"/>
              <w:ind w:right="57"/>
              <w:jc w:val="center"/>
              <w:rPr>
                <w:bCs/>
                <w:sz w:val="22"/>
              </w:rPr>
            </w:pPr>
            <w:r>
              <w:rPr>
                <w:rFonts w:hint="eastAsia"/>
                <w:bCs/>
                <w:sz w:val="22"/>
              </w:rPr>
              <w:t>跟读班级</w:t>
            </w:r>
          </w:p>
        </w:tc>
        <w:tc>
          <w:tcPr>
            <w:tcW w:w="1136" w:type="dxa"/>
            <w:vAlign w:val="center"/>
          </w:tcPr>
          <w:p>
            <w:pPr>
              <w:spacing w:line="440" w:lineRule="exact"/>
              <w:ind w:right="57"/>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0" w:hRule="atLeast"/>
        </w:trPr>
        <w:tc>
          <w:tcPr>
            <w:tcW w:w="8645" w:type="dxa"/>
            <w:gridSpan w:val="6"/>
            <w:tcBorders>
              <w:bottom w:val="single" w:color="auto" w:sz="4" w:space="0"/>
            </w:tcBorders>
          </w:tcPr>
          <w:p>
            <w:pPr>
              <w:spacing w:line="440" w:lineRule="exact"/>
              <w:ind w:right="57"/>
              <w:rPr>
                <w:bCs/>
                <w:sz w:val="22"/>
              </w:rPr>
            </w:pPr>
            <w:r>
              <w:rPr>
                <w:rFonts w:hint="eastAsia"/>
                <w:bCs/>
                <w:sz w:val="22"/>
              </w:rPr>
              <w:t>申请重修原因：</w:t>
            </w:r>
          </w:p>
          <w:p>
            <w:pPr>
              <w:spacing w:line="440" w:lineRule="exact"/>
              <w:ind w:right="57"/>
              <w:rPr>
                <w:bCs/>
                <w:sz w:val="22"/>
              </w:rPr>
            </w:pPr>
            <w:r>
              <w:rPr>
                <w:rFonts w:hint="eastAsia"/>
                <w:bCs/>
                <w:sz w:val="22"/>
              </w:rPr>
              <w:t xml:space="preserve">                              </w:t>
            </w:r>
          </w:p>
          <w:p>
            <w:pPr>
              <w:spacing w:line="440" w:lineRule="exact"/>
              <w:ind w:right="57"/>
              <w:rPr>
                <w:bCs/>
                <w:sz w:val="22"/>
              </w:rPr>
            </w:pPr>
          </w:p>
          <w:p>
            <w:pPr>
              <w:spacing w:line="440" w:lineRule="exact"/>
              <w:ind w:right="57"/>
              <w:rPr>
                <w:bCs/>
                <w:sz w:val="22"/>
              </w:rPr>
            </w:pPr>
            <w:r>
              <w:rPr>
                <w:rFonts w:hint="eastAsia"/>
                <w:bCs/>
                <w:sz w:val="22"/>
              </w:rPr>
              <w:t xml:space="preserve">                                            学生签名：</w:t>
            </w:r>
          </w:p>
          <w:p>
            <w:pPr>
              <w:spacing w:line="440" w:lineRule="exact"/>
              <w:ind w:right="57" w:firstLine="5682" w:firstLineChars="2583"/>
              <w:rPr>
                <w:bCs/>
                <w:sz w:val="22"/>
              </w:rPr>
            </w:pPr>
            <w:r>
              <w:rPr>
                <w:rFonts w:hint="eastAsia"/>
                <w:bCs/>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645" w:type="dxa"/>
            <w:gridSpan w:val="6"/>
          </w:tcPr>
          <w:p>
            <w:pPr>
              <w:spacing w:line="440" w:lineRule="exact"/>
              <w:ind w:right="57"/>
              <w:rPr>
                <w:bCs/>
                <w:sz w:val="22"/>
              </w:rPr>
            </w:pPr>
            <w:r>
              <w:rPr>
                <w:rFonts w:hint="eastAsia"/>
                <w:bCs/>
                <w:sz w:val="22"/>
              </w:rPr>
              <w:t>学生所在学院意见：</w:t>
            </w:r>
          </w:p>
          <w:p>
            <w:pPr>
              <w:spacing w:line="440" w:lineRule="exact"/>
              <w:ind w:right="57"/>
              <w:rPr>
                <w:bCs/>
                <w:sz w:val="22"/>
              </w:rPr>
            </w:pPr>
          </w:p>
          <w:p>
            <w:pPr>
              <w:spacing w:line="440" w:lineRule="exact"/>
              <w:ind w:right="57"/>
              <w:rPr>
                <w:bCs/>
                <w:sz w:val="22"/>
              </w:rPr>
            </w:pPr>
            <w:r>
              <w:rPr>
                <w:rFonts w:hint="eastAsia"/>
                <w:bCs/>
                <w:sz w:val="22"/>
              </w:rPr>
              <w:t xml:space="preserve">                               教学科研办公室签字（或盖章）</w:t>
            </w:r>
          </w:p>
          <w:p>
            <w:pPr>
              <w:spacing w:line="440" w:lineRule="exact"/>
              <w:ind w:left="2528" w:leftChars="1204" w:right="497" w:firstLine="2420" w:firstLineChars="1100"/>
              <w:rPr>
                <w:bCs/>
                <w:sz w:val="22"/>
              </w:rPr>
            </w:pPr>
            <w:r>
              <w:rPr>
                <w:rFonts w:hint="eastAsia"/>
                <w:bCs/>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645" w:type="dxa"/>
            <w:gridSpan w:val="6"/>
          </w:tcPr>
          <w:p>
            <w:pPr>
              <w:spacing w:line="440" w:lineRule="exact"/>
              <w:ind w:right="57"/>
              <w:rPr>
                <w:bCs/>
                <w:sz w:val="22"/>
              </w:rPr>
            </w:pPr>
            <w:r>
              <w:rPr>
                <w:rFonts w:hint="eastAsia"/>
                <w:bCs/>
                <w:sz w:val="22"/>
              </w:rPr>
              <w:t>课程开设学院意见：</w:t>
            </w:r>
          </w:p>
          <w:p>
            <w:pPr>
              <w:spacing w:line="440" w:lineRule="exact"/>
              <w:ind w:right="57"/>
              <w:rPr>
                <w:bCs/>
                <w:sz w:val="22"/>
              </w:rPr>
            </w:pPr>
          </w:p>
          <w:p>
            <w:pPr>
              <w:spacing w:line="440" w:lineRule="exact"/>
              <w:ind w:right="57"/>
              <w:rPr>
                <w:bCs/>
                <w:sz w:val="22"/>
              </w:rPr>
            </w:pPr>
            <w:r>
              <w:rPr>
                <w:rFonts w:hint="eastAsia"/>
                <w:bCs/>
                <w:sz w:val="22"/>
              </w:rPr>
              <w:t xml:space="preserve">                               教学科研办公室签字（或盖章）</w:t>
            </w:r>
          </w:p>
          <w:p>
            <w:pPr>
              <w:spacing w:line="440" w:lineRule="exact"/>
              <w:ind w:right="497" w:firstLine="6226" w:firstLineChars="2830"/>
              <w:rPr>
                <w:bCs/>
                <w:sz w:val="22"/>
              </w:rPr>
            </w:pPr>
            <w:r>
              <w:rPr>
                <w:rFonts w:hint="eastAsia"/>
                <w:bCs/>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645" w:type="dxa"/>
            <w:gridSpan w:val="6"/>
          </w:tcPr>
          <w:p>
            <w:pPr>
              <w:spacing w:line="440" w:lineRule="exact"/>
              <w:ind w:right="57"/>
              <w:rPr>
                <w:bCs/>
                <w:sz w:val="22"/>
                <w:u w:val="single"/>
              </w:rPr>
            </w:pPr>
            <w:r>
              <w:rPr>
                <w:rFonts w:hint="eastAsia"/>
                <w:bCs/>
                <w:sz w:val="22"/>
              </w:rPr>
              <w:t>重修费（60元/学分）共</w:t>
            </w:r>
            <w:r>
              <w:rPr>
                <w:rFonts w:hint="eastAsia"/>
                <w:bCs/>
                <w:sz w:val="22"/>
                <w:u w:val="single"/>
              </w:rPr>
              <w:t xml:space="preserve">           </w:t>
            </w:r>
            <w:r>
              <w:rPr>
                <w:rFonts w:hint="eastAsia"/>
                <w:bCs/>
                <w:sz w:val="22"/>
              </w:rPr>
              <w:t xml:space="preserve"> 元</w:t>
            </w:r>
          </w:p>
          <w:p>
            <w:pPr>
              <w:spacing w:line="440" w:lineRule="exact"/>
              <w:ind w:right="57"/>
              <w:rPr>
                <w:bCs/>
                <w:sz w:val="22"/>
              </w:rPr>
            </w:pPr>
            <w:r>
              <w:rPr>
                <w:rFonts w:hint="eastAsia"/>
                <w:bCs/>
                <w:sz w:val="22"/>
              </w:rPr>
              <w:t xml:space="preserve">                                            交费情况（计财处盖章）    </w:t>
            </w:r>
          </w:p>
          <w:p>
            <w:pPr>
              <w:spacing w:line="440" w:lineRule="exact"/>
              <w:ind w:right="497" w:firstLine="6160" w:firstLineChars="2800"/>
              <w:rPr>
                <w:bCs/>
                <w:sz w:val="22"/>
              </w:rPr>
            </w:pPr>
            <w:r>
              <w:rPr>
                <w:rFonts w:hint="eastAsia"/>
                <w:bCs/>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2" w:hRule="atLeast"/>
        </w:trPr>
        <w:tc>
          <w:tcPr>
            <w:tcW w:w="8645" w:type="dxa"/>
            <w:gridSpan w:val="6"/>
          </w:tcPr>
          <w:p>
            <w:pPr>
              <w:spacing w:line="440" w:lineRule="exact"/>
              <w:ind w:right="57"/>
              <w:rPr>
                <w:bCs/>
                <w:sz w:val="22"/>
              </w:rPr>
            </w:pPr>
            <w:r>
              <w:rPr>
                <w:rFonts w:hint="eastAsia"/>
                <w:bCs/>
                <w:sz w:val="22"/>
              </w:rPr>
              <w:t>教务处审核意见：</w:t>
            </w:r>
          </w:p>
          <w:p>
            <w:pPr>
              <w:spacing w:line="440" w:lineRule="exact"/>
              <w:ind w:right="57"/>
              <w:rPr>
                <w:bCs/>
                <w:sz w:val="22"/>
              </w:rPr>
            </w:pPr>
          </w:p>
          <w:p>
            <w:pPr>
              <w:spacing w:line="440" w:lineRule="exact"/>
              <w:ind w:right="57"/>
              <w:rPr>
                <w:bCs/>
                <w:sz w:val="22"/>
              </w:rPr>
            </w:pPr>
            <w:r>
              <w:rPr>
                <w:rFonts w:hint="eastAsia"/>
                <w:bCs/>
                <w:sz w:val="22"/>
              </w:rPr>
              <w:t xml:space="preserve">                                         教务处(盖章)</w:t>
            </w:r>
          </w:p>
          <w:p>
            <w:pPr>
              <w:spacing w:line="440" w:lineRule="exact"/>
              <w:ind w:right="57" w:firstLine="5682" w:firstLineChars="2583"/>
              <w:rPr>
                <w:bCs/>
                <w:sz w:val="22"/>
              </w:rPr>
            </w:pPr>
            <w:r>
              <w:rPr>
                <w:rFonts w:hint="eastAsia"/>
                <w:bCs/>
                <w:sz w:val="22"/>
              </w:rPr>
              <w:t xml:space="preserve">    年       月     日</w:t>
            </w:r>
          </w:p>
        </w:tc>
      </w:tr>
    </w:tbl>
    <w:p>
      <w:pPr>
        <w:rPr>
          <w:rFonts w:cs="宋体"/>
          <w:sz w:val="24"/>
          <w:szCs w:val="24"/>
        </w:rPr>
      </w:pPr>
      <w:r>
        <w:rPr>
          <w:rFonts w:hint="eastAsia" w:cs="宋体"/>
          <w:sz w:val="24"/>
          <w:szCs w:val="24"/>
        </w:rPr>
        <w:t>备注：此表一式三份，分别由学生所在学院、开课学院、教务处存档。</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pStyle w:val="10"/>
        <w:spacing w:before="0" w:beforeAutospacing="0" w:after="0" w:afterAutospacing="0" w:line="560" w:lineRule="exact"/>
        <w:jc w:val="center"/>
        <w:rPr>
          <w:rFonts w:asciiTheme="majorEastAsia" w:hAnsiTheme="majorEastAsia" w:eastAsiaTheme="majorEastAsia"/>
          <w:b/>
          <w:sz w:val="32"/>
          <w:szCs w:val="32"/>
        </w:rPr>
      </w:pPr>
      <w:r>
        <w:rPr>
          <w:rFonts w:asciiTheme="majorEastAsia" w:hAnsiTheme="majorEastAsia" w:eastAsiaTheme="majorEastAsia"/>
          <w:b/>
          <w:sz w:val="32"/>
          <w:szCs w:val="32"/>
        </w:rPr>
        <w:t>内江师范学院课程教案编写规范</w:t>
      </w:r>
      <w:r>
        <w:rPr>
          <w:rFonts w:hint="eastAsia" w:asciiTheme="majorEastAsia" w:hAnsiTheme="majorEastAsia" w:eastAsiaTheme="majorEastAsia"/>
          <w:b/>
          <w:sz w:val="32"/>
          <w:szCs w:val="32"/>
        </w:rPr>
        <w:t>（修订）</w:t>
      </w:r>
    </w:p>
    <w:p>
      <w:pPr>
        <w:spacing w:line="560" w:lineRule="exact"/>
        <w:jc w:val="center"/>
        <w:rPr>
          <w:rFonts w:asciiTheme="majorEastAsia" w:hAnsiTheme="majorEastAsia" w:eastAsiaTheme="majorEastAsia"/>
          <w:b/>
          <w:w w:val="80"/>
          <w:sz w:val="28"/>
          <w:szCs w:val="28"/>
        </w:rPr>
      </w:pPr>
      <w:r>
        <w:rPr>
          <w:rFonts w:hint="eastAsia" w:asciiTheme="majorEastAsia" w:hAnsiTheme="majorEastAsia" w:eastAsiaTheme="majorEastAsia"/>
          <w:b/>
          <w:sz w:val="28"/>
          <w:szCs w:val="28"/>
        </w:rPr>
        <w:t>内师教字〔2015〕48号</w:t>
      </w:r>
    </w:p>
    <w:p>
      <w:pPr>
        <w:pStyle w:val="10"/>
        <w:spacing w:before="0" w:beforeAutospacing="0" w:after="0" w:afterAutospacing="0" w:line="560" w:lineRule="exact"/>
        <w:jc w:val="center"/>
        <w:rPr>
          <w:b/>
        </w:rPr>
      </w:pPr>
    </w:p>
    <w:p>
      <w:pPr>
        <w:pStyle w:val="10"/>
        <w:spacing w:before="0" w:beforeAutospacing="0" w:after="0" w:afterAutospacing="0" w:line="360" w:lineRule="auto"/>
        <w:ind w:firstLine="480" w:firstLineChars="200"/>
        <w:jc w:val="both"/>
        <w:rPr>
          <w:rFonts w:asciiTheme="minorEastAsia" w:hAnsiTheme="minorEastAsia" w:eastAsiaTheme="minorEastAsia"/>
          <w:b/>
        </w:rPr>
      </w:pPr>
      <w:r>
        <w:rPr>
          <w:rFonts w:asciiTheme="minorEastAsia" w:hAnsiTheme="minorEastAsia" w:eastAsiaTheme="minorEastAsia"/>
        </w:rPr>
        <w:t>教案是教师经过教学设计，以授课单元或章节为单位编写的具体教学方案，是授课思路、教学内容、教学方法、教学技能的客观反映，是教师实施教学的基本依据和保证课程教学质量的基本前提。教案的规范化建设是课程建设的重要组成部分。为了保证教师更好地履行教书育人职责，严格执行教学大纲要求，贯彻因材施教原则，精心设计和组织好每一章节、每一授课单元的授课内容和进程，切实提高教学质量，保证人才培养目标的实现，特制定本规范。</w:t>
      </w:r>
    </w:p>
    <w:p>
      <w:pPr>
        <w:pStyle w:val="10"/>
        <w:spacing w:before="0" w:beforeAutospacing="0" w:after="0" w:afterAutospacing="0" w:line="360" w:lineRule="auto"/>
        <w:ind w:firstLine="482" w:firstLineChars="200"/>
        <w:jc w:val="both"/>
        <w:rPr>
          <w:rFonts w:asciiTheme="minorEastAsia" w:hAnsiTheme="minorEastAsia" w:eastAsiaTheme="minorEastAsia"/>
          <w:b/>
        </w:rPr>
      </w:pPr>
      <w:r>
        <w:rPr>
          <w:rFonts w:hint="eastAsia" w:asciiTheme="minorEastAsia" w:hAnsiTheme="minorEastAsia" w:eastAsiaTheme="minorEastAsia"/>
          <w:b/>
        </w:rPr>
        <w:t>一</w:t>
      </w:r>
      <w:r>
        <w:rPr>
          <w:rFonts w:asciiTheme="minorEastAsia" w:hAnsiTheme="minorEastAsia" w:eastAsiaTheme="minorEastAsia"/>
          <w:b/>
        </w:rPr>
        <w:t xml:space="preserve"> 、教案编写要求</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教案是教师组织教学的必备教学文件，教师上课必须有教案。教案分为纸质教案和电子教案两种。纸质教案分为手写教案与word文档编制打印教案两种；电子教案指包括用Powerpoint等应用程序开发的教学内容演示文稿和其它多媒体课件在内的完整的课程教案。</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教案编写要以教学大纲为依据，明确教学目的与要求，注意将课程内容及其结构与教学对象的认知结构有机对应，构架教学内容的逻辑路线</w:t>
      </w:r>
      <w:r>
        <w:rPr>
          <w:rFonts w:hint="eastAsia" w:asciiTheme="minorEastAsia" w:hAnsiTheme="minorEastAsia" w:eastAsiaTheme="minorEastAsia"/>
        </w:rPr>
        <w:t>和</w:t>
      </w:r>
      <w:r>
        <w:rPr>
          <w:rFonts w:asciiTheme="minorEastAsia" w:hAnsiTheme="minorEastAsia" w:eastAsiaTheme="minorEastAsia"/>
        </w:rPr>
        <w:t>设计讲述策略。同时，应科学安排进度，突出重点，讲清难点，注重启发，精心选用</w:t>
      </w:r>
      <w:r>
        <w:rPr>
          <w:rFonts w:hint="eastAsia" w:asciiTheme="minorEastAsia" w:hAnsiTheme="minorEastAsia" w:eastAsiaTheme="minorEastAsia"/>
        </w:rPr>
        <w:t>适合的</w:t>
      </w:r>
      <w:r>
        <w:rPr>
          <w:rFonts w:asciiTheme="minorEastAsia" w:hAnsiTheme="minorEastAsia" w:eastAsiaTheme="minorEastAsia"/>
        </w:rPr>
        <w:t>教学方法与</w:t>
      </w:r>
      <w:r>
        <w:rPr>
          <w:rFonts w:hint="eastAsia" w:asciiTheme="minorEastAsia" w:hAnsiTheme="minorEastAsia" w:eastAsiaTheme="minorEastAsia"/>
        </w:rPr>
        <w:t>教学</w:t>
      </w:r>
      <w:r>
        <w:rPr>
          <w:rFonts w:asciiTheme="minorEastAsia" w:hAnsiTheme="minorEastAsia" w:eastAsiaTheme="minorEastAsia"/>
        </w:rPr>
        <w:t>手段。</w:t>
      </w:r>
    </w:p>
    <w:p>
      <w:pPr>
        <w:pStyle w:val="10"/>
        <w:spacing w:before="0" w:beforeAutospacing="0" w:after="0" w:afterAutospacing="0" w:line="360" w:lineRule="auto"/>
        <w:ind w:firstLine="482" w:firstLineChars="200"/>
        <w:jc w:val="both"/>
        <w:rPr>
          <w:rFonts w:asciiTheme="minorEastAsia" w:hAnsiTheme="minorEastAsia" w:eastAsiaTheme="minorEastAsia"/>
          <w:b/>
        </w:rPr>
      </w:pPr>
      <w:r>
        <w:rPr>
          <w:rFonts w:hint="eastAsia" w:asciiTheme="minorEastAsia" w:hAnsiTheme="minorEastAsia" w:eastAsiaTheme="minorEastAsia"/>
          <w:b/>
        </w:rPr>
        <w:t>二</w:t>
      </w:r>
      <w:r>
        <w:rPr>
          <w:rFonts w:asciiTheme="minorEastAsia" w:hAnsiTheme="minorEastAsia" w:eastAsiaTheme="minorEastAsia"/>
          <w:b/>
        </w:rPr>
        <w:t xml:space="preserve"> 、教案编写的内容和格式       </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asciiTheme="minorEastAsia" w:hAnsiTheme="minorEastAsia" w:eastAsiaTheme="minorEastAsia"/>
        </w:rPr>
        <w:t>教案的编写必须与</w:t>
      </w:r>
      <w:r>
        <w:rPr>
          <w:rFonts w:hint="eastAsia" w:asciiTheme="minorEastAsia" w:hAnsiTheme="minorEastAsia" w:eastAsiaTheme="minorEastAsia"/>
        </w:rPr>
        <w:t>授课计划</w:t>
      </w:r>
      <w:r>
        <w:rPr>
          <w:rFonts w:asciiTheme="minorEastAsia" w:hAnsiTheme="minorEastAsia" w:eastAsiaTheme="minorEastAsia"/>
        </w:rPr>
        <w:t>进度表相适应，在章节表述、学时安排、授课内容、教学方式方法等方面与</w:t>
      </w:r>
      <w:r>
        <w:rPr>
          <w:rFonts w:hint="eastAsia" w:asciiTheme="minorEastAsia" w:hAnsiTheme="minorEastAsia" w:eastAsiaTheme="minorEastAsia"/>
        </w:rPr>
        <w:t>授课计划</w:t>
      </w:r>
      <w:r>
        <w:rPr>
          <w:rFonts w:asciiTheme="minorEastAsia" w:hAnsiTheme="minorEastAsia" w:eastAsiaTheme="minorEastAsia"/>
        </w:rPr>
        <w:t>进度表一致。具体内容与格式如下：</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教案编写的具体内容</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asciiTheme="minorEastAsia" w:hAnsiTheme="minorEastAsia" w:eastAsiaTheme="minorEastAsia"/>
        </w:rPr>
        <w:t>教案首先应以章为单位编写，然后再按每一章中各节的教学内容和学时分配编写每一授课单元(一般为2学时)的授课教案。每章教案编写的具体内容包括：</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教学目标及基本要求；</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教学内容及学时分配；</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教学内容的重点和难点；</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教学方法、方式(手段)；</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（5）教学过程；</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思考题和习题、作业等。</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教案编写的格式</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因学科差异，教案的格式可以根据学科特点进行个性化编写，无固定格式，但必须具备教案编写的基本内容要求。</w:t>
      </w:r>
    </w:p>
    <w:p>
      <w:pPr>
        <w:pStyle w:val="10"/>
        <w:spacing w:before="0" w:beforeAutospacing="0" w:after="0" w:afterAutospacing="0" w:line="360" w:lineRule="auto"/>
        <w:ind w:firstLine="482" w:firstLineChars="200"/>
        <w:jc w:val="both"/>
        <w:rPr>
          <w:rFonts w:asciiTheme="minorEastAsia" w:hAnsiTheme="minorEastAsia" w:eastAsiaTheme="minorEastAsia"/>
          <w:b/>
        </w:rPr>
      </w:pPr>
      <w:r>
        <w:rPr>
          <w:rFonts w:hint="eastAsia" w:asciiTheme="minorEastAsia" w:hAnsiTheme="minorEastAsia" w:eastAsiaTheme="minorEastAsia"/>
          <w:b/>
        </w:rPr>
        <w:t>三</w:t>
      </w:r>
      <w:r>
        <w:rPr>
          <w:rFonts w:asciiTheme="minorEastAsia" w:hAnsiTheme="minorEastAsia" w:eastAsiaTheme="minorEastAsia"/>
          <w:b/>
        </w:rPr>
        <w:t>、教案编写的管理</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由于专业特点、课程性质、教学内容等差异，各教学单位可根据各自学科专业特点，制定本</w:t>
      </w:r>
      <w:r>
        <w:rPr>
          <w:rFonts w:hint="eastAsia" w:asciiTheme="minorEastAsia" w:hAnsiTheme="minorEastAsia" w:eastAsiaTheme="minorEastAsia"/>
        </w:rPr>
        <w:t>教学单位</w:t>
      </w:r>
      <w:r>
        <w:rPr>
          <w:rFonts w:asciiTheme="minorEastAsia" w:hAnsiTheme="minorEastAsia" w:eastAsiaTheme="minorEastAsia"/>
        </w:rPr>
        <w:t>满足本规范要求、符合自身实际的统一、规范的课程教案编写格式。各教学单位自定的课程教案编写格式原则上应包含本规定的各要素要求。</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各教学单位、教研室要充分重视教师教案的编写和教学法研究，经常开展教案研讨和评比，要请教学经验丰富的中老年教师对青年教师进行示范</w:t>
      </w:r>
      <w:r>
        <w:rPr>
          <w:rFonts w:hint="eastAsia" w:asciiTheme="minorEastAsia" w:hAnsiTheme="minorEastAsia" w:eastAsiaTheme="minorEastAsia"/>
        </w:rPr>
        <w:t>，</w:t>
      </w:r>
      <w:r>
        <w:rPr>
          <w:rFonts w:asciiTheme="minorEastAsia" w:hAnsiTheme="minorEastAsia" w:eastAsiaTheme="minorEastAsia"/>
        </w:rPr>
        <w:t>对青年教师的教案各教研室要审核把关。</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教师应根据教学需要，制作完整的电子教案，包括Powerpoint演示文稿和其它多媒体教学课件，努力提高多媒体课件质量和课堂教学质量。</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任课教师每一轮授课应根据课程教学大纲的修订、学科发展的需要以及上一轮授课的实际效果等情况，对教案进行必要的更新、修改和完善，并在新一轮教案更新或修订时予以说明。</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各门课程的教案应</w:t>
      </w:r>
      <w:r>
        <w:rPr>
          <w:rFonts w:hint="eastAsia" w:asciiTheme="minorEastAsia" w:hAnsiTheme="minorEastAsia" w:eastAsiaTheme="minorEastAsia"/>
        </w:rPr>
        <w:t>结合</w:t>
      </w:r>
      <w:r>
        <w:rPr>
          <w:rFonts w:asciiTheme="minorEastAsia" w:hAnsiTheme="minorEastAsia" w:eastAsiaTheme="minorEastAsia"/>
        </w:rPr>
        <w:t>专业特点和学生实际编写，不同学科、不同专业的同一门课程</w:t>
      </w:r>
      <w:r>
        <w:rPr>
          <w:rFonts w:hint="eastAsia" w:asciiTheme="minorEastAsia" w:hAnsiTheme="minorEastAsia" w:eastAsiaTheme="minorEastAsia"/>
        </w:rPr>
        <w:t>应结合专业特点编写</w:t>
      </w:r>
      <w:r>
        <w:rPr>
          <w:rFonts w:asciiTheme="minorEastAsia" w:hAnsiTheme="minorEastAsia" w:eastAsiaTheme="minorEastAsia"/>
        </w:rPr>
        <w:t>。</w:t>
      </w:r>
    </w:p>
    <w:p>
      <w:pPr>
        <w:spacing w:line="360" w:lineRule="auto"/>
        <w:ind w:firstLine="482" w:firstLineChars="200"/>
        <w:rPr>
          <w:rFonts w:cs="宋体" w:asciiTheme="minorEastAsia" w:hAnsiTheme="minorEastAsia"/>
          <w:b/>
          <w:sz w:val="24"/>
        </w:rPr>
      </w:pPr>
      <w:r>
        <w:rPr>
          <w:rFonts w:hint="eastAsia" w:cs="宋体" w:asciiTheme="minorEastAsia" w:hAnsiTheme="minorEastAsia"/>
          <w:b/>
          <w:sz w:val="24"/>
        </w:rPr>
        <w:t>四、本规定自发布之日起执行，由教务处负责解释。</w:t>
      </w:r>
    </w:p>
    <w:p>
      <w:pPr>
        <w:spacing w:line="360" w:lineRule="auto"/>
        <w:ind w:firstLine="200"/>
        <w:rPr>
          <w:rFonts w:cs="宋体" w:asciiTheme="minorEastAsia" w:hAnsiTheme="minorEastAsia"/>
          <w:sz w:val="24"/>
        </w:rPr>
      </w:pPr>
    </w:p>
    <w:p>
      <w:pPr>
        <w:spacing w:line="360" w:lineRule="auto"/>
        <w:ind w:firstLine="200"/>
        <w:rPr>
          <w:rFonts w:cs="宋体" w:asciiTheme="minorEastAsia" w:hAnsiTheme="minorEastAsia"/>
          <w:sz w:val="24"/>
        </w:rPr>
      </w:pPr>
    </w:p>
    <w:p>
      <w:pPr>
        <w:spacing w:line="360" w:lineRule="auto"/>
        <w:ind w:firstLine="200"/>
        <w:jc w:val="right"/>
        <w:rPr>
          <w:rFonts w:cs="宋体" w:asciiTheme="minorEastAsia" w:hAnsiTheme="minorEastAsia"/>
          <w:sz w:val="24"/>
        </w:rPr>
      </w:pPr>
      <w:r>
        <w:rPr>
          <w:rFonts w:hint="eastAsia" w:cs="宋体" w:asciiTheme="minorEastAsia" w:hAnsiTheme="minorEastAsia"/>
          <w:sz w:val="24"/>
        </w:rPr>
        <w:t>二〇一五年四月十日</w:t>
      </w:r>
    </w:p>
    <w:p>
      <w:pPr>
        <w:spacing w:line="360" w:lineRule="auto"/>
        <w:ind w:firstLine="480" w:firstLineChars="200"/>
        <w:rPr>
          <w:rFonts w:cs="宋体"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pStyle w:val="19"/>
        <w:spacing w:line="560" w:lineRule="exact"/>
        <w:ind w:firstLine="0"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内江师范学院辅修专业管理办法（修订）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内师教字〔2013〕77号</w:t>
      </w:r>
    </w:p>
    <w:p>
      <w:pPr>
        <w:pStyle w:val="19"/>
        <w:spacing w:line="560" w:lineRule="exact"/>
        <w:ind w:firstLine="560"/>
        <w:jc w:val="center"/>
        <w:rPr>
          <w:rFonts w:ascii="方正仿宋简体" w:hAnsi="宋体" w:eastAsia="方正仿宋简体"/>
          <w:b/>
          <w:sz w:val="28"/>
          <w:szCs w:val="28"/>
        </w:rPr>
      </w:pP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为了适应基础教育改革和社会经济、科技、文化发展对人才的需求，拓宽学生专业面，增强学生的适应能力，培养高素质的复合型人才，学校实行辅修制。为加强对辅修专业的管理，特制定本办法。</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一、辅修专业设置原则</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辅修专业的设置必须有主修专业作为依托。二级学院所设本科专业原则上都可以作为辅修专业供其他各专业学生修读。</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二、辅修条件</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我校全日制在校本科生，在校期间表现良好，学习能力强，主修专业各科成绩合格，对辅修专业有一定兴趣和基础。符合辅修专业的要求，均可申请参加辅修专业学习，每个学生在校期间原则上只能辅修一个专业。</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三、辅修时间</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辅修专业是在保证完成主修专业和学生自愿选择基础之上开设的第二专业，学习时间从第三学期开始，直到毕业学期结束止，辅修总学分由人才培养方案规定的学分确定。</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四、辅修申报</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学生在第二学期末可向拟辅修专业的二级学院提出辅修申请，具体安排按各辅修专业要求进行。</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学生填写《内江师范学院辅修专业申请表》，经学生所在学院审核学习成绩并加盖学院公章后，到拟就读辅修专业所在学院报名。</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开办辅修专业的学院根据修读条件在修读第一学期开课后两周内按择优录取原则确定辅修学生。学生在辅修专业第一学期开课后的两周内，如学习有困难，可向开办单位提出退修申请。</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确定辅修学生名单后，由辅修学生每学期开学前两周到学校计财处缴纳当期辅修学分费用，由开办学院将辅修学生缴费单收齐后统一交教务处，正式办理辅修专业学籍注册手续。</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五、教学管理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辅修专业的学生人数在25以上，应以单独编班方式组织教学活动；25人以下可按插班方式组织教学。各辅修专业原则上以每学期开设3-4门课为宜，单独编班的课程教学从每学期开学第2周开始，共16周，每周末授课。各学院应按教学总周数合理安排每门课程的教学。</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辅修课程内容应包含该专业必需的基本理论、基础知识和基本技能(含实践、实验环节)。</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辅修专业的教学质量由开课学院负责。具体教学工作（辅修专业学生的学籍、教材选订、成绩管理、排课、课程考核等）由开课学院负责，使用教室由教务处协调安排。</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辅修专业的教学任务同主修专业的教学任务同等对待，按教学计划学时计入教师教学工作量。</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辅修专业严格实行淘汰制，有下列情况之一者，终止其辅修学习且辅修学费一律不予退还：</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① 按学院有关规定，被退学者。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② 辅修专业的课程无故旷课达三分之一及以上学时者。</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③ 无论何种原因，受学校留校察看及以上纪律处分者。</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六、学籍管理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辅修学生的学籍管理由开办辅修专业的学院进行专门管理，报教务处备案。</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开设辅修专业的学院应严格组织辅修各门课程考核，时间按照教务处安排进行。学生在规定时间按时完成教师布置的作业及其他教学环节，经课程考核成绩合格，可获得相应学分。学生累计无故缺课达总学时1/3或未完成该课程要求的教学环节者，不能参加该课程的期末考核。考核不及格的课程可补考一次，补考仍不及格的须重修。</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学生可根据自己的情况提出“免修”或“免考”的书面申请，经辅修专业开办学院领导批准，报教务处备案。免修考试成绩合格可以取得相应学分（课程的免修考核标准由辅修专业主办学院确定、公布）；免修考试成绩不合格须重修。申请免考者须提供本人学习该课程的成绩记录。</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 辅修专业学生的成绩管理：开设辅修专业的学院负责组织任课教师按全校统一制定的辅修成绩单格式登录学生的成绩。原始成绩单交教务处审核存档，作为颁发证书的依据。开设辅修专业的学院应保存成绩复印件以备查。辅修专业课程成绩不得冲抵主修专业课程成绩，若辅修专业课程与主修专业课程有重复设置，则可申请免修辅修专业该课程，经辅修专业学院批准，成绩以主修专业该课程成绩计。</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 学生在取得主修专业毕业资格的基础上，修读完辅修教学计划所规定的课程且成绩合格，达到辅修专业的总学分要求，颁发《内江师范学院辅修专业证书》。</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七、收费标准</w:t>
      </w:r>
    </w:p>
    <w:p>
      <w:pPr>
        <w:pStyle w:val="1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学费按相关规定的各专业每学分学费标准收取(以物价部门审批为准)。</w:t>
      </w:r>
    </w:p>
    <w:p>
      <w:pPr>
        <w:pStyle w:val="19"/>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八、本《管理办法》从发布之日起执行。</w:t>
      </w: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附件：1.内江师范学院辅修专业申请表</w:t>
      </w:r>
    </w:p>
    <w:p>
      <w:pPr>
        <w:spacing w:line="360" w:lineRule="auto"/>
        <w:rPr>
          <w:rFonts w:asciiTheme="minorEastAsia" w:hAnsiTheme="minorEastAsia"/>
          <w:sz w:val="24"/>
          <w:szCs w:val="24"/>
        </w:rPr>
      </w:pPr>
      <w:r>
        <w:rPr>
          <w:rFonts w:hint="eastAsia" w:asciiTheme="minorEastAsia" w:hAnsiTheme="minorEastAsia"/>
          <w:sz w:val="24"/>
          <w:szCs w:val="24"/>
        </w:rPr>
        <w:t xml:space="preserve">      2.内江师范学院辅修专业课程成绩单</w:t>
      </w: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2013年7月9日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b/>
          <w:sz w:val="28"/>
          <w:szCs w:val="28"/>
        </w:rPr>
      </w:pPr>
      <w:r>
        <w:rPr>
          <w:rFonts w:hint="eastAsia" w:asciiTheme="minorEastAsia" w:hAnsiTheme="minorEastAsia"/>
          <w:b/>
          <w:sz w:val="28"/>
          <w:szCs w:val="28"/>
        </w:rPr>
        <w:t>附件1</w:t>
      </w:r>
    </w:p>
    <w:p>
      <w:pPr>
        <w:adjustRightInd w:val="0"/>
        <w:snapToGrid w:val="0"/>
        <w:spacing w:before="312" w:beforeLines="100" w:line="480" w:lineRule="auto"/>
        <w:jc w:val="center"/>
        <w:rPr>
          <w:rFonts w:ascii="宋体" w:hAnsi="宋体"/>
          <w:b/>
          <w:sz w:val="32"/>
          <w:szCs w:val="32"/>
        </w:rPr>
      </w:pPr>
      <w:r>
        <w:rPr>
          <w:rFonts w:hint="eastAsia" w:ascii="宋体" w:hAnsi="宋体"/>
          <w:b/>
          <w:sz w:val="32"/>
          <w:szCs w:val="32"/>
        </w:rPr>
        <w:t>内江师范学院辅修专业申请表</w:t>
      </w:r>
    </w:p>
    <w:tbl>
      <w:tblPr>
        <w:tblStyle w:val="15"/>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0"/>
        <w:gridCol w:w="526"/>
        <w:gridCol w:w="1065"/>
        <w:gridCol w:w="1065"/>
        <w:gridCol w:w="2129"/>
        <w:gridCol w:w="106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728" w:type="dxa"/>
            <w:gridSpan w:val="2"/>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姓  名</w:t>
            </w:r>
          </w:p>
        </w:tc>
        <w:tc>
          <w:tcPr>
            <w:tcW w:w="1591" w:type="dxa"/>
            <w:gridSpan w:val="2"/>
            <w:vAlign w:val="center"/>
          </w:tcPr>
          <w:p>
            <w:pPr>
              <w:adjustRightInd w:val="0"/>
              <w:snapToGrid w:val="0"/>
              <w:spacing w:line="300" w:lineRule="auto"/>
              <w:jc w:val="center"/>
              <w:rPr>
                <w:rFonts w:ascii="宋体" w:hAnsi="宋体"/>
                <w:bCs/>
                <w:sz w:val="24"/>
                <w:szCs w:val="21"/>
              </w:rPr>
            </w:pPr>
          </w:p>
        </w:tc>
        <w:tc>
          <w:tcPr>
            <w:tcW w:w="1065"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学号</w:t>
            </w:r>
          </w:p>
        </w:tc>
        <w:tc>
          <w:tcPr>
            <w:tcW w:w="2129" w:type="dxa"/>
            <w:vAlign w:val="center"/>
          </w:tcPr>
          <w:p>
            <w:pPr>
              <w:adjustRightInd w:val="0"/>
              <w:snapToGrid w:val="0"/>
              <w:spacing w:line="300" w:lineRule="auto"/>
              <w:jc w:val="center"/>
              <w:rPr>
                <w:rFonts w:ascii="宋体" w:hAnsi="宋体"/>
                <w:bCs/>
                <w:sz w:val="24"/>
                <w:szCs w:val="21"/>
              </w:rPr>
            </w:pPr>
          </w:p>
        </w:tc>
        <w:tc>
          <w:tcPr>
            <w:tcW w:w="1066"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班级</w:t>
            </w:r>
          </w:p>
        </w:tc>
        <w:tc>
          <w:tcPr>
            <w:tcW w:w="1433" w:type="dxa"/>
            <w:vAlign w:val="center"/>
          </w:tcPr>
          <w:p>
            <w:pPr>
              <w:adjustRightInd w:val="0"/>
              <w:snapToGrid w:val="0"/>
              <w:spacing w:line="300" w:lineRule="auto"/>
              <w:jc w:val="center"/>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728" w:type="dxa"/>
            <w:gridSpan w:val="2"/>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学生所在学院</w:t>
            </w:r>
          </w:p>
        </w:tc>
        <w:tc>
          <w:tcPr>
            <w:tcW w:w="1591" w:type="dxa"/>
            <w:gridSpan w:val="2"/>
            <w:vAlign w:val="center"/>
          </w:tcPr>
          <w:p>
            <w:pPr>
              <w:adjustRightInd w:val="0"/>
              <w:snapToGrid w:val="0"/>
              <w:spacing w:line="300" w:lineRule="auto"/>
              <w:jc w:val="center"/>
              <w:rPr>
                <w:rFonts w:ascii="宋体" w:hAnsi="宋体"/>
                <w:bCs/>
                <w:sz w:val="24"/>
                <w:szCs w:val="21"/>
              </w:rPr>
            </w:pPr>
          </w:p>
        </w:tc>
        <w:tc>
          <w:tcPr>
            <w:tcW w:w="1065"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专业</w:t>
            </w:r>
          </w:p>
        </w:tc>
        <w:tc>
          <w:tcPr>
            <w:tcW w:w="4628" w:type="dxa"/>
            <w:gridSpan w:val="3"/>
            <w:vAlign w:val="center"/>
          </w:tcPr>
          <w:p>
            <w:pPr>
              <w:adjustRightInd w:val="0"/>
              <w:snapToGrid w:val="0"/>
              <w:spacing w:line="300" w:lineRule="auto"/>
              <w:jc w:val="center"/>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2254" w:type="dxa"/>
            <w:gridSpan w:val="3"/>
            <w:tcBorders>
              <w:bottom w:val="single" w:color="auto" w:sz="4" w:space="0"/>
            </w:tcBorders>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申请辅修专业</w:t>
            </w:r>
          </w:p>
        </w:tc>
        <w:tc>
          <w:tcPr>
            <w:tcW w:w="2130" w:type="dxa"/>
            <w:gridSpan w:val="2"/>
            <w:tcBorders>
              <w:bottom w:val="single" w:color="auto" w:sz="4" w:space="0"/>
            </w:tcBorders>
            <w:vAlign w:val="center"/>
          </w:tcPr>
          <w:p>
            <w:pPr>
              <w:adjustRightInd w:val="0"/>
              <w:snapToGrid w:val="0"/>
              <w:spacing w:line="300" w:lineRule="auto"/>
              <w:rPr>
                <w:rFonts w:ascii="宋体" w:hAnsi="宋体"/>
                <w:bCs/>
                <w:sz w:val="24"/>
                <w:szCs w:val="21"/>
              </w:rPr>
            </w:pPr>
          </w:p>
        </w:tc>
        <w:tc>
          <w:tcPr>
            <w:tcW w:w="2129" w:type="dxa"/>
            <w:tcBorders>
              <w:bottom w:val="single" w:color="auto" w:sz="4" w:space="0"/>
            </w:tcBorders>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应辅修学分数</w:t>
            </w:r>
          </w:p>
        </w:tc>
        <w:tc>
          <w:tcPr>
            <w:tcW w:w="2499" w:type="dxa"/>
            <w:gridSpan w:val="2"/>
            <w:tcBorders>
              <w:bottom w:val="single" w:color="auto" w:sz="4" w:space="0"/>
            </w:tcBorders>
            <w:vAlign w:val="center"/>
          </w:tcPr>
          <w:p>
            <w:pPr>
              <w:adjustRightInd w:val="0"/>
              <w:snapToGrid w:val="0"/>
              <w:spacing w:line="300" w:lineRule="auto"/>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学生</w:t>
            </w:r>
          </w:p>
          <w:p>
            <w:pPr>
              <w:adjustRightInd w:val="0"/>
              <w:snapToGrid w:val="0"/>
              <w:spacing w:line="300" w:lineRule="auto"/>
              <w:jc w:val="center"/>
              <w:rPr>
                <w:rFonts w:ascii="宋体" w:hAnsi="宋体"/>
                <w:bCs/>
                <w:sz w:val="24"/>
                <w:szCs w:val="21"/>
              </w:rPr>
            </w:pPr>
            <w:r>
              <w:rPr>
                <w:rFonts w:hint="eastAsia" w:ascii="宋体" w:hAnsi="宋体"/>
                <w:bCs/>
                <w:sz w:val="24"/>
                <w:szCs w:val="21"/>
              </w:rPr>
              <w:t>所在学院</w:t>
            </w:r>
          </w:p>
          <w:p>
            <w:pPr>
              <w:adjustRightInd w:val="0"/>
              <w:snapToGrid w:val="0"/>
              <w:spacing w:line="300" w:lineRule="auto"/>
              <w:jc w:val="center"/>
              <w:rPr>
                <w:rFonts w:ascii="宋体" w:hAnsi="宋体"/>
                <w:bCs/>
                <w:sz w:val="24"/>
                <w:szCs w:val="21"/>
              </w:rPr>
            </w:pPr>
            <w:r>
              <w:rPr>
                <w:rFonts w:hint="eastAsia" w:ascii="宋体" w:hAnsi="宋体"/>
                <w:bCs/>
                <w:sz w:val="24"/>
                <w:szCs w:val="21"/>
              </w:rPr>
              <w:t>审核意见</w:t>
            </w:r>
          </w:p>
        </w:tc>
        <w:tc>
          <w:tcPr>
            <w:tcW w:w="7644" w:type="dxa"/>
            <w:gridSpan w:val="7"/>
          </w:tcPr>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ind w:firstLine="3240" w:firstLineChars="1350"/>
              <w:rPr>
                <w:rFonts w:ascii="宋体" w:hAnsi="宋体"/>
                <w:bCs/>
                <w:sz w:val="24"/>
                <w:szCs w:val="21"/>
              </w:rPr>
            </w:pPr>
            <w:r>
              <w:rPr>
                <w:rFonts w:hint="eastAsia" w:ascii="宋体" w:hAnsi="宋体"/>
                <w:bCs/>
                <w:sz w:val="24"/>
                <w:szCs w:val="21"/>
              </w:rPr>
              <w:t>学院院长签名（盖章）：</w:t>
            </w:r>
          </w:p>
          <w:p>
            <w:pPr>
              <w:adjustRightInd w:val="0"/>
              <w:snapToGrid w:val="0"/>
              <w:spacing w:line="300" w:lineRule="auto"/>
              <w:ind w:firstLine="4560" w:firstLineChars="1900"/>
              <w:rPr>
                <w:rFonts w:ascii="宋体" w:hAnsi="宋体"/>
                <w:bCs/>
                <w:sz w:val="24"/>
                <w:szCs w:val="21"/>
              </w:rPr>
            </w:pPr>
            <w:r>
              <w:rPr>
                <w:rFonts w:hint="eastAsia" w:ascii="宋体" w:hAnsi="宋体"/>
                <w:bCs/>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辅修专业所在学院</w:t>
            </w:r>
          </w:p>
          <w:p>
            <w:pPr>
              <w:adjustRightInd w:val="0"/>
              <w:snapToGrid w:val="0"/>
              <w:spacing w:line="300" w:lineRule="auto"/>
              <w:jc w:val="center"/>
              <w:rPr>
                <w:rFonts w:ascii="宋体" w:hAnsi="宋体"/>
                <w:bCs/>
                <w:sz w:val="24"/>
                <w:szCs w:val="21"/>
              </w:rPr>
            </w:pPr>
            <w:r>
              <w:rPr>
                <w:rFonts w:hint="eastAsia" w:ascii="宋体" w:hAnsi="宋体"/>
                <w:bCs/>
                <w:sz w:val="24"/>
                <w:szCs w:val="21"/>
              </w:rPr>
              <w:t>意见</w:t>
            </w:r>
          </w:p>
        </w:tc>
        <w:tc>
          <w:tcPr>
            <w:tcW w:w="7644" w:type="dxa"/>
            <w:gridSpan w:val="7"/>
          </w:tcPr>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ind w:firstLine="3240" w:firstLineChars="1350"/>
              <w:rPr>
                <w:rFonts w:ascii="宋体" w:hAnsi="宋体"/>
                <w:bCs/>
                <w:sz w:val="24"/>
                <w:szCs w:val="21"/>
              </w:rPr>
            </w:pPr>
            <w:r>
              <w:rPr>
                <w:rFonts w:hint="eastAsia" w:ascii="宋体" w:hAnsi="宋体"/>
                <w:bCs/>
                <w:sz w:val="24"/>
                <w:szCs w:val="21"/>
              </w:rPr>
              <w:t>学院院长签名（盖章）：</w:t>
            </w:r>
          </w:p>
          <w:p>
            <w:pPr>
              <w:adjustRightInd w:val="0"/>
              <w:snapToGrid w:val="0"/>
              <w:spacing w:line="300" w:lineRule="auto"/>
              <w:ind w:firstLine="3120" w:firstLineChars="1300"/>
              <w:rPr>
                <w:rFonts w:ascii="宋体" w:hAnsi="宋体"/>
                <w:bCs/>
                <w:sz w:val="24"/>
                <w:szCs w:val="21"/>
              </w:rPr>
            </w:pPr>
            <w:r>
              <w:rPr>
                <w:rFonts w:hint="eastAsia" w:ascii="宋体" w:hAnsi="宋体"/>
                <w:bCs/>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学校</w:t>
            </w:r>
          </w:p>
          <w:p>
            <w:pPr>
              <w:adjustRightInd w:val="0"/>
              <w:snapToGrid w:val="0"/>
              <w:spacing w:line="300" w:lineRule="auto"/>
              <w:jc w:val="center"/>
              <w:rPr>
                <w:rFonts w:ascii="宋体" w:hAnsi="宋体"/>
                <w:bCs/>
                <w:sz w:val="24"/>
                <w:szCs w:val="21"/>
              </w:rPr>
            </w:pPr>
            <w:r>
              <w:rPr>
                <w:rFonts w:hint="eastAsia" w:ascii="宋体" w:hAnsi="宋体"/>
                <w:bCs/>
                <w:sz w:val="24"/>
                <w:szCs w:val="21"/>
              </w:rPr>
              <w:t>计财处</w:t>
            </w:r>
          </w:p>
          <w:p>
            <w:pPr>
              <w:adjustRightInd w:val="0"/>
              <w:snapToGrid w:val="0"/>
              <w:spacing w:line="300" w:lineRule="auto"/>
              <w:jc w:val="center"/>
              <w:rPr>
                <w:rFonts w:ascii="宋体" w:hAnsi="宋体"/>
                <w:bCs/>
                <w:sz w:val="24"/>
                <w:szCs w:val="21"/>
              </w:rPr>
            </w:pPr>
            <w:r>
              <w:rPr>
                <w:rFonts w:hint="eastAsia" w:ascii="宋体" w:hAnsi="宋体"/>
                <w:bCs/>
                <w:sz w:val="24"/>
                <w:szCs w:val="21"/>
              </w:rPr>
              <w:t>缴费</w:t>
            </w:r>
          </w:p>
        </w:tc>
        <w:tc>
          <w:tcPr>
            <w:tcW w:w="7644" w:type="dxa"/>
            <w:gridSpan w:val="7"/>
          </w:tcPr>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r>
              <w:rPr>
                <w:rFonts w:hint="eastAsia" w:ascii="宋体" w:hAnsi="宋体"/>
                <w:bCs/>
                <w:sz w:val="24"/>
                <w:szCs w:val="21"/>
              </w:rPr>
              <w:t>应缴辅修学费共计_________元。</w:t>
            </w:r>
          </w:p>
          <w:p>
            <w:pPr>
              <w:adjustRightInd w:val="0"/>
              <w:snapToGrid w:val="0"/>
              <w:spacing w:line="300" w:lineRule="auto"/>
              <w:rPr>
                <w:rFonts w:ascii="宋体" w:hAnsi="宋体"/>
                <w:bCs/>
                <w:sz w:val="24"/>
                <w:szCs w:val="21"/>
              </w:rPr>
            </w:pPr>
          </w:p>
          <w:p>
            <w:pPr>
              <w:adjustRightInd w:val="0"/>
              <w:snapToGrid w:val="0"/>
              <w:spacing w:line="300" w:lineRule="auto"/>
              <w:ind w:firstLine="3480" w:firstLineChars="1450"/>
              <w:rPr>
                <w:rFonts w:ascii="宋体" w:hAnsi="宋体"/>
                <w:bCs/>
                <w:sz w:val="24"/>
                <w:szCs w:val="21"/>
              </w:rPr>
            </w:pPr>
            <w:r>
              <w:rPr>
                <w:rFonts w:hint="eastAsia" w:ascii="宋体" w:hAnsi="宋体"/>
                <w:bCs/>
                <w:sz w:val="24"/>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教务处</w:t>
            </w:r>
          </w:p>
          <w:p>
            <w:pPr>
              <w:adjustRightInd w:val="0"/>
              <w:snapToGrid w:val="0"/>
              <w:spacing w:line="300" w:lineRule="auto"/>
              <w:jc w:val="center"/>
              <w:rPr>
                <w:rFonts w:ascii="宋体" w:hAnsi="宋体"/>
                <w:bCs/>
                <w:sz w:val="24"/>
                <w:szCs w:val="21"/>
              </w:rPr>
            </w:pPr>
            <w:r>
              <w:rPr>
                <w:rFonts w:hint="eastAsia" w:ascii="宋体" w:hAnsi="宋体"/>
                <w:bCs/>
                <w:sz w:val="24"/>
                <w:szCs w:val="21"/>
              </w:rPr>
              <w:t>审核意见</w:t>
            </w:r>
          </w:p>
        </w:tc>
        <w:tc>
          <w:tcPr>
            <w:tcW w:w="7644" w:type="dxa"/>
            <w:gridSpan w:val="7"/>
          </w:tcPr>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p>
          <w:p>
            <w:pPr>
              <w:adjustRightInd w:val="0"/>
              <w:snapToGrid w:val="0"/>
              <w:spacing w:line="300" w:lineRule="auto"/>
              <w:rPr>
                <w:rFonts w:ascii="宋体" w:hAnsi="宋体"/>
                <w:bCs/>
                <w:sz w:val="24"/>
                <w:szCs w:val="21"/>
              </w:rPr>
            </w:pPr>
            <w:r>
              <w:rPr>
                <w:rFonts w:hint="eastAsia" w:ascii="宋体" w:hAnsi="宋体"/>
                <w:bCs/>
                <w:sz w:val="24"/>
                <w:szCs w:val="21"/>
              </w:rPr>
              <w:t xml:space="preserve">                          教务处处长签名（盖章）：</w:t>
            </w:r>
          </w:p>
          <w:p>
            <w:pPr>
              <w:adjustRightInd w:val="0"/>
              <w:snapToGrid w:val="0"/>
              <w:spacing w:line="300" w:lineRule="auto"/>
              <w:ind w:firstLine="4080" w:firstLineChars="1700"/>
              <w:rPr>
                <w:rFonts w:ascii="宋体" w:hAnsi="宋体"/>
                <w:bCs/>
                <w:sz w:val="24"/>
                <w:szCs w:val="21"/>
              </w:rPr>
            </w:pPr>
            <w:r>
              <w:rPr>
                <w:rFonts w:hint="eastAsia" w:ascii="宋体" w:hAnsi="宋体"/>
                <w:bCs/>
                <w:sz w:val="24"/>
                <w:szCs w:val="21"/>
              </w:rPr>
              <w:t xml:space="preserve">      年   月   日</w:t>
            </w:r>
          </w:p>
        </w:tc>
      </w:tr>
    </w:tbl>
    <w:p>
      <w:pPr>
        <w:adjustRightInd w:val="0"/>
        <w:snapToGrid w:val="0"/>
        <w:spacing w:line="300" w:lineRule="auto"/>
        <w:rPr>
          <w:rFonts w:ascii="宋体" w:hAnsi="宋体"/>
          <w:bCs/>
          <w:sz w:val="24"/>
          <w:szCs w:val="21"/>
        </w:rPr>
      </w:pPr>
      <w:r>
        <w:rPr>
          <w:rFonts w:hint="eastAsia" w:ascii="宋体" w:hAnsi="宋体"/>
          <w:bCs/>
          <w:sz w:val="24"/>
          <w:szCs w:val="21"/>
        </w:rPr>
        <w:t>此表一式两份，一份交辅修专业开设学院、一份交学校教务处存档。</w:t>
      </w:r>
    </w:p>
    <w:p>
      <w:pPr>
        <w:spacing w:line="360" w:lineRule="auto"/>
        <w:rPr>
          <w:rFonts w:asciiTheme="minorEastAsia" w:hAnsiTheme="minorEastAsia"/>
          <w:sz w:val="24"/>
          <w:szCs w:val="24"/>
        </w:rPr>
      </w:pPr>
    </w:p>
    <w:p>
      <w:pPr>
        <w:spacing w:line="360" w:lineRule="auto"/>
        <w:rPr>
          <w:rFonts w:asciiTheme="minorEastAsia" w:hAnsiTheme="minorEastAsia"/>
          <w:b/>
          <w:sz w:val="28"/>
          <w:szCs w:val="28"/>
        </w:rPr>
      </w:pPr>
      <w:r>
        <w:rPr>
          <w:rFonts w:hint="eastAsia" w:asciiTheme="minorEastAsia" w:hAnsiTheme="minorEastAsia"/>
          <w:b/>
          <w:sz w:val="28"/>
          <w:szCs w:val="28"/>
        </w:rPr>
        <w:t>附件2</w:t>
      </w:r>
    </w:p>
    <w:p>
      <w:pPr>
        <w:adjustRightInd w:val="0"/>
        <w:snapToGrid w:val="0"/>
        <w:spacing w:line="300" w:lineRule="auto"/>
        <w:jc w:val="center"/>
        <w:rPr>
          <w:rFonts w:ascii="宋体" w:hAnsi="宋体"/>
          <w:b/>
          <w:bCs/>
          <w:sz w:val="32"/>
          <w:szCs w:val="32"/>
        </w:rPr>
      </w:pPr>
      <w:r>
        <w:rPr>
          <w:rFonts w:hint="eastAsia" w:ascii="宋体" w:hAnsi="宋体"/>
          <w:b/>
          <w:bCs/>
          <w:sz w:val="32"/>
          <w:szCs w:val="32"/>
        </w:rPr>
        <w:t>内江师范学院辅修专业课程成绩单</w:t>
      </w:r>
    </w:p>
    <w:p>
      <w:pPr>
        <w:adjustRightInd w:val="0"/>
        <w:snapToGrid w:val="0"/>
        <w:spacing w:line="300" w:lineRule="auto"/>
        <w:rPr>
          <w:rFonts w:ascii="宋体" w:hAnsi="宋体"/>
          <w:bCs/>
          <w:sz w:val="24"/>
          <w:szCs w:val="21"/>
        </w:rPr>
      </w:pPr>
      <w:r>
        <w:rPr>
          <w:rFonts w:hint="eastAsia" w:ascii="宋体" w:hAnsi="宋体"/>
          <w:bCs/>
          <w:sz w:val="24"/>
          <w:szCs w:val="21"/>
        </w:rPr>
        <w:t>学生所在学院：                开办辅修专业学院：</w:t>
      </w:r>
    </w:p>
    <w:tbl>
      <w:tblPr>
        <w:tblStyle w:val="15"/>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900"/>
        <w:gridCol w:w="900"/>
        <w:gridCol w:w="90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学号</w:t>
            </w:r>
          </w:p>
        </w:tc>
        <w:tc>
          <w:tcPr>
            <w:tcW w:w="900"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姓名</w:t>
            </w:r>
          </w:p>
        </w:tc>
        <w:tc>
          <w:tcPr>
            <w:tcW w:w="900"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平时成绩</w:t>
            </w:r>
          </w:p>
        </w:tc>
        <w:tc>
          <w:tcPr>
            <w:tcW w:w="900"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期中</w:t>
            </w:r>
          </w:p>
          <w:p>
            <w:pPr>
              <w:adjustRightInd w:val="0"/>
              <w:snapToGrid w:val="0"/>
              <w:spacing w:line="300" w:lineRule="auto"/>
              <w:jc w:val="center"/>
              <w:rPr>
                <w:rFonts w:ascii="宋体" w:hAnsi="宋体"/>
                <w:bCs/>
                <w:sz w:val="24"/>
                <w:szCs w:val="21"/>
              </w:rPr>
            </w:pPr>
            <w:r>
              <w:rPr>
                <w:rFonts w:hint="eastAsia" w:ascii="宋体" w:hAnsi="宋体"/>
                <w:bCs/>
                <w:sz w:val="24"/>
                <w:szCs w:val="21"/>
              </w:rPr>
              <w:t>成绩</w:t>
            </w:r>
          </w:p>
        </w:tc>
        <w:tc>
          <w:tcPr>
            <w:tcW w:w="900"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期末成绩</w:t>
            </w:r>
          </w:p>
        </w:tc>
        <w:tc>
          <w:tcPr>
            <w:tcW w:w="900"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平均</w:t>
            </w:r>
          </w:p>
          <w:p>
            <w:pPr>
              <w:adjustRightInd w:val="0"/>
              <w:snapToGrid w:val="0"/>
              <w:spacing w:line="300" w:lineRule="auto"/>
              <w:jc w:val="center"/>
              <w:rPr>
                <w:rFonts w:ascii="宋体" w:hAnsi="宋体"/>
                <w:bCs/>
                <w:sz w:val="24"/>
                <w:szCs w:val="21"/>
              </w:rPr>
            </w:pPr>
            <w:r>
              <w:rPr>
                <w:rFonts w:hint="eastAsia" w:ascii="宋体" w:hAnsi="宋体"/>
                <w:bCs/>
                <w:sz w:val="24"/>
                <w:szCs w:val="21"/>
              </w:rPr>
              <w:t>成绩</w:t>
            </w:r>
          </w:p>
        </w:tc>
        <w:tc>
          <w:tcPr>
            <w:tcW w:w="2784" w:type="dxa"/>
            <w:shd w:val="clear" w:color="auto" w:fill="auto"/>
            <w:vAlign w:val="center"/>
          </w:tcPr>
          <w:p>
            <w:pPr>
              <w:adjustRightInd w:val="0"/>
              <w:snapToGrid w:val="0"/>
              <w:spacing w:line="300" w:lineRule="auto"/>
              <w:jc w:val="center"/>
              <w:rPr>
                <w:rFonts w:ascii="宋体" w:hAnsi="宋体"/>
                <w:bCs/>
                <w:sz w:val="24"/>
                <w:szCs w:val="21"/>
              </w:rPr>
            </w:pPr>
            <w:r>
              <w:rPr>
                <w:rFonts w:hint="eastAsia" w:ascii="宋体" w:hAnsi="宋体"/>
                <w:bCs/>
                <w:sz w:val="24"/>
                <w:szCs w:val="21"/>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sz w:val="24"/>
                <w:szCs w:val="21"/>
              </w:rPr>
            </w:pPr>
          </w:p>
        </w:tc>
        <w:tc>
          <w:tcPr>
            <w:tcW w:w="900" w:type="dxa"/>
            <w:shd w:val="clear" w:color="auto" w:fill="auto"/>
            <w:vAlign w:val="center"/>
          </w:tcPr>
          <w:p>
            <w:pPr>
              <w:adjustRightInd w:val="0"/>
              <w:snapToGrid w:val="0"/>
              <w:spacing w:line="300" w:lineRule="auto"/>
              <w:jc w:val="center"/>
              <w:rPr>
                <w:rFonts w:ascii="宋体" w:hAnsi="宋体"/>
                <w:bCs/>
                <w:sz w:val="24"/>
                <w:szCs w:val="21"/>
              </w:rPr>
            </w:pPr>
          </w:p>
        </w:tc>
        <w:tc>
          <w:tcPr>
            <w:tcW w:w="900" w:type="dxa"/>
            <w:shd w:val="clear" w:color="auto" w:fill="auto"/>
            <w:vAlign w:val="center"/>
          </w:tcPr>
          <w:p>
            <w:pPr>
              <w:adjustRightInd w:val="0"/>
              <w:snapToGrid w:val="0"/>
              <w:spacing w:line="300" w:lineRule="auto"/>
              <w:jc w:val="center"/>
              <w:rPr>
                <w:rFonts w:ascii="宋体" w:hAnsi="宋体"/>
                <w:bCs/>
                <w:sz w:val="24"/>
                <w:szCs w:val="21"/>
              </w:rPr>
            </w:pPr>
          </w:p>
        </w:tc>
        <w:tc>
          <w:tcPr>
            <w:tcW w:w="900" w:type="dxa"/>
            <w:shd w:val="clear" w:color="auto" w:fill="auto"/>
            <w:vAlign w:val="center"/>
          </w:tcPr>
          <w:p>
            <w:pPr>
              <w:adjustRightInd w:val="0"/>
              <w:snapToGrid w:val="0"/>
              <w:spacing w:line="300" w:lineRule="auto"/>
              <w:jc w:val="center"/>
              <w:rPr>
                <w:rFonts w:ascii="宋体" w:hAnsi="宋体"/>
                <w:bCs/>
                <w:sz w:val="24"/>
                <w:szCs w:val="21"/>
              </w:rPr>
            </w:pPr>
          </w:p>
        </w:tc>
        <w:tc>
          <w:tcPr>
            <w:tcW w:w="900" w:type="dxa"/>
            <w:shd w:val="clear" w:color="auto" w:fill="auto"/>
            <w:vAlign w:val="center"/>
          </w:tcPr>
          <w:p>
            <w:pPr>
              <w:adjustRightInd w:val="0"/>
              <w:snapToGrid w:val="0"/>
              <w:spacing w:line="300" w:lineRule="auto"/>
              <w:jc w:val="center"/>
              <w:rPr>
                <w:rFonts w:ascii="宋体" w:hAnsi="宋体"/>
                <w:bCs/>
                <w:sz w:val="24"/>
                <w:szCs w:val="21"/>
              </w:rPr>
            </w:pPr>
          </w:p>
        </w:tc>
        <w:tc>
          <w:tcPr>
            <w:tcW w:w="900" w:type="dxa"/>
            <w:shd w:val="clear" w:color="auto" w:fill="auto"/>
            <w:vAlign w:val="center"/>
          </w:tcPr>
          <w:p>
            <w:pPr>
              <w:adjustRightInd w:val="0"/>
              <w:snapToGrid w:val="0"/>
              <w:spacing w:line="300" w:lineRule="auto"/>
              <w:jc w:val="center"/>
              <w:rPr>
                <w:rFonts w:ascii="宋体" w:hAnsi="宋体"/>
                <w:bCs/>
                <w:sz w:val="24"/>
                <w:szCs w:val="21"/>
              </w:rPr>
            </w:pPr>
          </w:p>
        </w:tc>
        <w:tc>
          <w:tcPr>
            <w:tcW w:w="2784" w:type="dxa"/>
            <w:shd w:val="clear" w:color="auto" w:fill="auto"/>
            <w:vAlign w:val="center"/>
          </w:tcPr>
          <w:p>
            <w:pPr>
              <w:adjustRightInd w:val="0"/>
              <w:snapToGrid w:val="0"/>
              <w:spacing w:line="300" w:lineRule="auto"/>
              <w:jc w:val="center"/>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900" w:type="dxa"/>
            <w:shd w:val="clear" w:color="auto" w:fill="auto"/>
            <w:vAlign w:val="center"/>
          </w:tcPr>
          <w:p>
            <w:pPr>
              <w:adjustRightInd w:val="0"/>
              <w:snapToGrid w:val="0"/>
              <w:spacing w:line="300" w:lineRule="auto"/>
              <w:jc w:val="center"/>
              <w:rPr>
                <w:rFonts w:ascii="宋体" w:hAnsi="宋体"/>
                <w:bCs/>
                <w:color w:val="FF0000"/>
                <w:sz w:val="24"/>
                <w:szCs w:val="21"/>
              </w:rPr>
            </w:pPr>
          </w:p>
        </w:tc>
        <w:tc>
          <w:tcPr>
            <w:tcW w:w="2784" w:type="dxa"/>
            <w:shd w:val="clear" w:color="auto" w:fill="auto"/>
            <w:vAlign w:val="center"/>
          </w:tcPr>
          <w:p>
            <w:pPr>
              <w:adjustRightInd w:val="0"/>
              <w:snapToGrid w:val="0"/>
              <w:spacing w:line="300" w:lineRule="auto"/>
              <w:jc w:val="center"/>
              <w:rPr>
                <w:rFonts w:ascii="宋体" w:hAnsi="宋体"/>
                <w:bCs/>
                <w:color w:val="FF0000"/>
                <w:sz w:val="24"/>
                <w:szCs w:val="21"/>
              </w:rPr>
            </w:pPr>
          </w:p>
        </w:tc>
      </w:tr>
    </w:tbl>
    <w:p>
      <w:pPr>
        <w:spacing w:line="360" w:lineRule="auto"/>
        <w:rPr>
          <w:rFonts w:asciiTheme="minorEastAsia" w:hAnsiTheme="minorEastAsia"/>
          <w:sz w:val="24"/>
          <w:szCs w:val="24"/>
        </w:rPr>
      </w:pPr>
    </w:p>
    <w:p>
      <w:pPr>
        <w:pStyle w:val="2"/>
        <w:spacing w:line="560" w:lineRule="exact"/>
        <w:ind w:firstLine="643"/>
        <w:jc w:val="center"/>
        <w:rPr>
          <w:rStyle w:val="12"/>
          <w:rFonts w:asciiTheme="majorEastAsia" w:hAnsiTheme="majorEastAsia" w:eastAsiaTheme="majorEastAsia"/>
          <w:b/>
          <w:bCs w:val="0"/>
          <w:sz w:val="32"/>
          <w:szCs w:val="32"/>
        </w:rPr>
      </w:pPr>
      <w:r>
        <w:rPr>
          <w:rStyle w:val="12"/>
          <w:rFonts w:hint="eastAsia" w:asciiTheme="majorEastAsia" w:hAnsiTheme="majorEastAsia" w:eastAsiaTheme="majorEastAsia"/>
          <w:b/>
          <w:bCs w:val="0"/>
          <w:sz w:val="32"/>
          <w:szCs w:val="32"/>
        </w:rPr>
        <w:t>内江师范学院</w:t>
      </w:r>
    </w:p>
    <w:p>
      <w:pPr>
        <w:pStyle w:val="2"/>
        <w:spacing w:line="560" w:lineRule="exact"/>
        <w:ind w:firstLine="643"/>
        <w:jc w:val="center"/>
        <w:rPr>
          <w:rStyle w:val="12"/>
          <w:rFonts w:asciiTheme="majorEastAsia" w:hAnsiTheme="majorEastAsia" w:eastAsiaTheme="majorEastAsia"/>
          <w:b/>
          <w:bCs w:val="0"/>
          <w:sz w:val="32"/>
          <w:szCs w:val="32"/>
        </w:rPr>
      </w:pPr>
      <w:r>
        <w:rPr>
          <w:rStyle w:val="12"/>
          <w:rFonts w:hint="eastAsia" w:asciiTheme="majorEastAsia" w:hAnsiTheme="majorEastAsia" w:eastAsiaTheme="majorEastAsia"/>
          <w:b/>
          <w:bCs w:val="0"/>
          <w:sz w:val="32"/>
          <w:szCs w:val="32"/>
        </w:rPr>
        <w:t>关于调课、停课、代课和补课的有关规定（修订）</w:t>
      </w:r>
    </w:p>
    <w:p>
      <w:pPr>
        <w:spacing w:line="560" w:lineRule="exact"/>
        <w:jc w:val="center"/>
        <w:rPr>
          <w:rFonts w:asciiTheme="majorEastAsia" w:hAnsiTheme="majorEastAsia" w:eastAsiaTheme="majorEastAsia"/>
          <w:b/>
          <w:w w:val="80"/>
          <w:sz w:val="28"/>
          <w:szCs w:val="28"/>
        </w:rPr>
      </w:pPr>
      <w:r>
        <w:rPr>
          <w:rFonts w:hint="eastAsia" w:asciiTheme="majorEastAsia" w:hAnsiTheme="majorEastAsia" w:eastAsiaTheme="majorEastAsia"/>
          <w:b/>
          <w:sz w:val="28"/>
          <w:szCs w:val="28"/>
        </w:rPr>
        <w:t>内师教字〔2015〕49号</w:t>
      </w:r>
    </w:p>
    <w:p>
      <w:pPr>
        <w:spacing w:line="560" w:lineRule="exact"/>
      </w:pPr>
    </w:p>
    <w:p>
      <w:pPr>
        <w:spacing w:line="360" w:lineRule="auto"/>
        <w:ind w:firstLine="480" w:firstLineChars="200"/>
        <w:rPr>
          <w:rFonts w:asciiTheme="minorEastAsia" w:hAnsiTheme="minorEastAsia"/>
          <w:sz w:val="24"/>
        </w:rPr>
      </w:pPr>
      <w:r>
        <w:rPr>
          <w:rFonts w:asciiTheme="minorEastAsia" w:hAnsiTheme="minorEastAsia"/>
          <w:sz w:val="24"/>
        </w:rPr>
        <w:t>为进一步规范调</w:t>
      </w:r>
      <w:r>
        <w:rPr>
          <w:rFonts w:hint="eastAsia" w:asciiTheme="minorEastAsia" w:hAnsiTheme="minorEastAsia"/>
          <w:sz w:val="24"/>
        </w:rPr>
        <w:t>课</w:t>
      </w:r>
      <w:r>
        <w:rPr>
          <w:rFonts w:asciiTheme="minorEastAsia" w:hAnsiTheme="minorEastAsia"/>
          <w:sz w:val="24"/>
        </w:rPr>
        <w:t>、停</w:t>
      </w:r>
      <w:r>
        <w:rPr>
          <w:rFonts w:hint="eastAsia" w:asciiTheme="minorEastAsia" w:hAnsiTheme="minorEastAsia"/>
          <w:sz w:val="24"/>
        </w:rPr>
        <w:t>课、代课和补</w:t>
      </w:r>
      <w:r>
        <w:rPr>
          <w:rFonts w:asciiTheme="minorEastAsia" w:hAnsiTheme="minorEastAsia"/>
          <w:sz w:val="24"/>
        </w:rPr>
        <w:t>课申请与审批程序，确保良好的教学秩序，结合</w:t>
      </w:r>
      <w:r>
        <w:rPr>
          <w:rFonts w:hint="eastAsia" w:asciiTheme="minorEastAsia" w:hAnsiTheme="minorEastAsia"/>
          <w:sz w:val="24"/>
        </w:rPr>
        <w:t>我校</w:t>
      </w:r>
      <w:r>
        <w:rPr>
          <w:rFonts w:asciiTheme="minorEastAsia" w:hAnsiTheme="minorEastAsia"/>
          <w:sz w:val="24"/>
        </w:rPr>
        <w:t>实际情况，特制定本</w:t>
      </w:r>
      <w:r>
        <w:rPr>
          <w:rFonts w:hint="eastAsia" w:asciiTheme="minorEastAsia" w:hAnsiTheme="minorEastAsia"/>
          <w:sz w:val="24"/>
        </w:rPr>
        <w:t>规定</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hint="eastAsia" w:asciiTheme="minorEastAsia" w:hAnsiTheme="minorEastAsia"/>
          <w:b/>
          <w:sz w:val="24"/>
        </w:rPr>
        <w:t>一、基本原则及要求</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教学课程表一经正式确定，除学</w:t>
      </w:r>
      <w:r>
        <w:rPr>
          <w:rFonts w:hint="eastAsia" w:asciiTheme="minorEastAsia" w:hAnsiTheme="minorEastAsia"/>
          <w:sz w:val="24"/>
        </w:rPr>
        <w:t>校</w:t>
      </w:r>
      <w:r>
        <w:rPr>
          <w:rFonts w:asciiTheme="minorEastAsia" w:hAnsiTheme="minorEastAsia"/>
          <w:sz w:val="24"/>
        </w:rPr>
        <w:t>根据需要，统筹安排进行调整外，任何</w:t>
      </w:r>
      <w:r>
        <w:rPr>
          <w:rFonts w:hint="eastAsia" w:asciiTheme="minorEastAsia" w:hAnsiTheme="minorEastAsia"/>
          <w:sz w:val="24"/>
        </w:rPr>
        <w:t>单位</w:t>
      </w:r>
      <w:r>
        <w:rPr>
          <w:rFonts w:asciiTheme="minorEastAsia" w:hAnsiTheme="minorEastAsia"/>
          <w:sz w:val="24"/>
        </w:rPr>
        <w:t>和个人不得随意变动</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任课教师</w:t>
      </w:r>
      <w:r>
        <w:rPr>
          <w:rFonts w:hint="eastAsia" w:asciiTheme="minorEastAsia" w:hAnsiTheme="minorEastAsia"/>
          <w:sz w:val="24"/>
        </w:rPr>
        <w:t>如</w:t>
      </w:r>
      <w:r>
        <w:rPr>
          <w:rFonts w:asciiTheme="minorEastAsia" w:hAnsiTheme="minorEastAsia"/>
          <w:sz w:val="24"/>
        </w:rPr>
        <w:t>遇其</w:t>
      </w:r>
      <w:r>
        <w:rPr>
          <w:rFonts w:hint="eastAsia" w:asciiTheme="minorEastAsia" w:hAnsiTheme="minorEastAsia"/>
          <w:sz w:val="24"/>
        </w:rPr>
        <w:t>它</w:t>
      </w:r>
      <w:r>
        <w:rPr>
          <w:rFonts w:asciiTheme="minorEastAsia" w:hAnsiTheme="minorEastAsia"/>
          <w:sz w:val="24"/>
        </w:rPr>
        <w:t>层次教学</w:t>
      </w:r>
      <w:r>
        <w:rPr>
          <w:rFonts w:hint="eastAsia" w:asciiTheme="minorEastAsia" w:hAnsiTheme="minorEastAsia"/>
          <w:sz w:val="24"/>
        </w:rPr>
        <w:t>活动</w:t>
      </w:r>
      <w:r>
        <w:rPr>
          <w:rFonts w:asciiTheme="minorEastAsia" w:hAnsiTheme="minorEastAsia"/>
          <w:sz w:val="24"/>
        </w:rPr>
        <w:t>与</w:t>
      </w:r>
      <w:r>
        <w:rPr>
          <w:rFonts w:hint="eastAsia" w:asciiTheme="minorEastAsia" w:hAnsiTheme="minorEastAsia"/>
          <w:sz w:val="24"/>
        </w:rPr>
        <w:t>学校教学计划内</w:t>
      </w:r>
      <w:r>
        <w:rPr>
          <w:rFonts w:asciiTheme="minorEastAsia" w:hAnsiTheme="minorEastAsia"/>
          <w:sz w:val="24"/>
        </w:rPr>
        <w:t>教学</w:t>
      </w:r>
      <w:r>
        <w:rPr>
          <w:rFonts w:hint="eastAsia" w:asciiTheme="minorEastAsia" w:hAnsiTheme="minorEastAsia"/>
          <w:sz w:val="24"/>
        </w:rPr>
        <w:t>相</w:t>
      </w:r>
      <w:r>
        <w:rPr>
          <w:rFonts w:asciiTheme="minorEastAsia" w:hAnsiTheme="minorEastAsia"/>
          <w:sz w:val="24"/>
        </w:rPr>
        <w:t>冲突时，应优先保证</w:t>
      </w:r>
      <w:r>
        <w:rPr>
          <w:rFonts w:hint="eastAsia" w:asciiTheme="minorEastAsia" w:hAnsiTheme="minorEastAsia"/>
          <w:sz w:val="24"/>
        </w:rPr>
        <w:t>学校教学计划内的</w:t>
      </w:r>
      <w:r>
        <w:rPr>
          <w:rFonts w:asciiTheme="minorEastAsia" w:hAnsiTheme="minorEastAsia"/>
          <w:sz w:val="24"/>
        </w:rPr>
        <w:t>教学</w:t>
      </w:r>
      <w:r>
        <w:rPr>
          <w:rFonts w:hint="eastAsia" w:asciiTheme="minorEastAsia" w:hAnsiTheme="minorEastAsia"/>
          <w:sz w:val="24"/>
        </w:rPr>
        <w:t>活动；</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教师在任课期间一般不安排出差任务，确因工作需要必须安排出差时，须经</w:t>
      </w:r>
      <w:r>
        <w:rPr>
          <w:rFonts w:hint="eastAsia" w:asciiTheme="minorEastAsia" w:hAnsiTheme="minorEastAsia"/>
          <w:sz w:val="24"/>
        </w:rPr>
        <w:t>开课单位</w:t>
      </w:r>
      <w:r>
        <w:rPr>
          <w:rFonts w:asciiTheme="minorEastAsia" w:hAnsiTheme="minorEastAsia"/>
          <w:sz w:val="24"/>
        </w:rPr>
        <w:t>同意</w:t>
      </w:r>
      <w:r>
        <w:rPr>
          <w:rFonts w:hint="eastAsia" w:asciiTheme="minorEastAsia" w:hAnsiTheme="minorEastAsia"/>
          <w:sz w:val="24"/>
        </w:rPr>
        <w:t>；</w:t>
      </w:r>
    </w:p>
    <w:p>
      <w:pPr>
        <w:widowControl/>
        <w:spacing w:line="360" w:lineRule="auto"/>
        <w:ind w:firstLine="480" w:firstLineChars="200"/>
        <w:jc w:val="left"/>
        <w:rPr>
          <w:rFonts w:asciiTheme="minorEastAsia" w:hAnsiTheme="minorEastAsia"/>
          <w:sz w:val="24"/>
        </w:rPr>
      </w:pPr>
      <w:r>
        <w:rPr>
          <w:rFonts w:hint="eastAsia" w:asciiTheme="minorEastAsia" w:hAnsiTheme="minorEastAsia"/>
          <w:sz w:val="24"/>
        </w:rPr>
        <w:t>4.</w:t>
      </w:r>
      <w:r>
        <w:rPr>
          <w:rFonts w:asciiTheme="minorEastAsia" w:hAnsiTheme="minorEastAsia"/>
          <w:sz w:val="24"/>
        </w:rPr>
        <w:t>凡未经批准擅自</w:t>
      </w:r>
      <w:r>
        <w:rPr>
          <w:rFonts w:hint="eastAsia" w:asciiTheme="minorEastAsia" w:hAnsiTheme="minorEastAsia"/>
          <w:sz w:val="24"/>
        </w:rPr>
        <w:t>调（停、代、补）课</w:t>
      </w:r>
      <w:r>
        <w:rPr>
          <w:rFonts w:asciiTheme="minorEastAsia" w:hAnsiTheme="minorEastAsia"/>
          <w:sz w:val="24"/>
        </w:rPr>
        <w:t>或停课后未进行补课</w:t>
      </w:r>
      <w:r>
        <w:rPr>
          <w:rFonts w:hint="eastAsia" w:asciiTheme="minorEastAsia" w:hAnsiTheme="minorEastAsia"/>
          <w:sz w:val="24"/>
        </w:rPr>
        <w:t>者</w:t>
      </w:r>
      <w:r>
        <w:rPr>
          <w:rFonts w:asciiTheme="minorEastAsia" w:hAnsiTheme="minorEastAsia"/>
          <w:sz w:val="24"/>
        </w:rPr>
        <w:t>，</w:t>
      </w:r>
      <w:r>
        <w:rPr>
          <w:rFonts w:hint="eastAsia" w:asciiTheme="minorEastAsia" w:hAnsiTheme="minorEastAsia"/>
          <w:sz w:val="24"/>
        </w:rPr>
        <w:t>按《内江师范学院教学责任事故认定与处理办法（修订）》文件相关规定处理。</w:t>
      </w:r>
    </w:p>
    <w:p>
      <w:pPr>
        <w:spacing w:line="360" w:lineRule="auto"/>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申请调</w:t>
      </w:r>
      <w:r>
        <w:rPr>
          <w:rFonts w:hint="eastAsia" w:asciiTheme="minorEastAsia" w:hAnsiTheme="minorEastAsia"/>
          <w:sz w:val="24"/>
        </w:rPr>
        <w:t>课</w:t>
      </w:r>
      <w:r>
        <w:rPr>
          <w:rFonts w:asciiTheme="minorEastAsia" w:hAnsiTheme="minorEastAsia"/>
          <w:sz w:val="24"/>
        </w:rPr>
        <w:t>、停</w:t>
      </w:r>
      <w:r>
        <w:rPr>
          <w:rFonts w:hint="eastAsia" w:asciiTheme="minorEastAsia" w:hAnsiTheme="minorEastAsia"/>
          <w:sz w:val="24"/>
        </w:rPr>
        <w:t>课、代课和补</w:t>
      </w:r>
      <w:r>
        <w:rPr>
          <w:rFonts w:asciiTheme="minorEastAsia" w:hAnsiTheme="minorEastAsia"/>
          <w:sz w:val="24"/>
        </w:rPr>
        <w:t>课应提前以书面形式办理相关手续</w:t>
      </w:r>
      <w:r>
        <w:rPr>
          <w:rFonts w:hint="eastAsia" w:asciiTheme="minorEastAsia" w:hAnsiTheme="minorEastAsia"/>
          <w:sz w:val="24"/>
        </w:rPr>
        <w:t>；</w:t>
      </w:r>
    </w:p>
    <w:p>
      <w:pPr>
        <w:widowControl/>
        <w:spacing w:line="360" w:lineRule="auto"/>
        <w:ind w:firstLine="480" w:firstLineChars="200"/>
        <w:jc w:val="left"/>
        <w:rPr>
          <w:rFonts w:asciiTheme="minorEastAsia" w:hAnsiTheme="minorEastAsia"/>
          <w:sz w:val="24"/>
        </w:rPr>
      </w:pPr>
      <w:r>
        <w:rPr>
          <w:rFonts w:hint="eastAsia" w:asciiTheme="minorEastAsia" w:hAnsiTheme="minorEastAsia"/>
          <w:sz w:val="24"/>
        </w:rPr>
        <w:t>6.开课单位须严格审批、严格控制教师的调（停、代、补）课，以维护正常的教学秩序，各开课单位原则上每周调课总学时不超过10学时；</w:t>
      </w:r>
    </w:p>
    <w:p>
      <w:pPr>
        <w:spacing w:line="360" w:lineRule="auto"/>
        <w:ind w:firstLine="480" w:firstLineChars="200"/>
        <w:rPr>
          <w:rFonts w:asciiTheme="minorEastAsia" w:hAnsiTheme="minorEastAsia"/>
          <w:sz w:val="24"/>
        </w:rPr>
      </w:pPr>
      <w:r>
        <w:rPr>
          <w:rFonts w:hint="eastAsia" w:asciiTheme="minorEastAsia" w:hAnsiTheme="minorEastAsia"/>
          <w:sz w:val="24"/>
        </w:rPr>
        <w:t>7.调（停、代、补）课要求</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）需至少提前一天办理；</w:t>
      </w:r>
    </w:p>
    <w:p>
      <w:pPr>
        <w:spacing w:line="360" w:lineRule="auto"/>
        <w:ind w:firstLine="480" w:firstLineChars="200"/>
        <w:rPr>
          <w:rFonts w:asciiTheme="minorEastAsia" w:hAnsiTheme="minorEastAsia"/>
          <w:sz w:val="24"/>
        </w:rPr>
      </w:pPr>
      <w:r>
        <w:rPr>
          <w:rFonts w:hint="eastAsia" w:asciiTheme="minorEastAsia" w:hAnsiTheme="minorEastAsia"/>
          <w:sz w:val="24"/>
        </w:rPr>
        <w:t>（2）调课原则上优先考虑以代课方式处理；</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必修课原则上不调至晚上</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一周多次的课</w:t>
      </w:r>
      <w:r>
        <w:rPr>
          <w:rFonts w:hint="eastAsia" w:asciiTheme="minorEastAsia" w:hAnsiTheme="minorEastAsia"/>
          <w:sz w:val="24"/>
        </w:rPr>
        <w:t>程</w:t>
      </w:r>
      <w:r>
        <w:rPr>
          <w:rFonts w:asciiTheme="minorEastAsia" w:hAnsiTheme="minorEastAsia"/>
          <w:sz w:val="24"/>
        </w:rPr>
        <w:t>，两次课之间须至少间隔一天</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（5）一门课程调整后原则上周学时不得超过6学时；</w:t>
      </w:r>
    </w:p>
    <w:p>
      <w:pPr>
        <w:spacing w:line="360" w:lineRule="auto"/>
        <w:ind w:firstLine="480" w:firstLineChars="200"/>
        <w:rPr>
          <w:rFonts w:asciiTheme="minorEastAsia" w:hAnsiTheme="minorEastAsia"/>
          <w:sz w:val="24"/>
        </w:rPr>
      </w:pPr>
      <w:r>
        <w:rPr>
          <w:rFonts w:hint="eastAsia" w:asciiTheme="minorEastAsia" w:hAnsiTheme="minorEastAsia"/>
          <w:sz w:val="24"/>
        </w:rPr>
        <w:t>（6）通识课程原则上不调课，确需调整的以代课方式处理。</w:t>
      </w:r>
    </w:p>
    <w:p>
      <w:pPr>
        <w:spacing w:line="360" w:lineRule="auto"/>
        <w:ind w:firstLine="482" w:firstLineChars="200"/>
        <w:rPr>
          <w:rFonts w:asciiTheme="minorEastAsia" w:hAnsiTheme="minorEastAsia"/>
          <w:b/>
          <w:sz w:val="24"/>
        </w:rPr>
      </w:pPr>
      <w:r>
        <w:rPr>
          <w:rFonts w:hint="eastAsia" w:asciiTheme="minorEastAsia" w:hAnsiTheme="minorEastAsia"/>
          <w:b/>
          <w:sz w:val="24"/>
        </w:rPr>
        <w:t>二、办理</w:t>
      </w:r>
      <w:r>
        <w:rPr>
          <w:rFonts w:asciiTheme="minorEastAsia" w:hAnsiTheme="minorEastAsia"/>
          <w:b/>
          <w:sz w:val="24"/>
        </w:rPr>
        <w:t>程序</w:t>
      </w:r>
    </w:p>
    <w:p>
      <w:pPr>
        <w:spacing w:line="360" w:lineRule="auto"/>
        <w:ind w:firstLine="480" w:firstLineChars="200"/>
        <w:rPr>
          <w:rFonts w:asciiTheme="minorEastAsia" w:hAnsiTheme="minorEastAsia"/>
          <w:sz w:val="24"/>
        </w:rPr>
      </w:pPr>
      <w:r>
        <w:rPr>
          <w:rFonts w:hint="eastAsia" w:asciiTheme="minorEastAsia" w:hAnsiTheme="minorEastAsia"/>
          <w:sz w:val="24"/>
        </w:rPr>
        <w:t>1.非紧急情况下的办理程序</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教师申请</w:t>
      </w:r>
      <w:r>
        <w:rPr>
          <w:rFonts w:hint="eastAsia" w:asciiTheme="minorEastAsia" w:hAnsiTheme="minorEastAsia"/>
          <w:sz w:val="24"/>
        </w:rPr>
        <w:t>调（停、代、补）课</w:t>
      </w:r>
      <w:r>
        <w:rPr>
          <w:rFonts w:asciiTheme="minorEastAsia" w:hAnsiTheme="minorEastAsia"/>
          <w:sz w:val="24"/>
        </w:rPr>
        <w:t>时，须填写</w:t>
      </w:r>
      <w:r>
        <w:rPr>
          <w:rFonts w:hint="eastAsia" w:asciiTheme="minorEastAsia" w:hAnsiTheme="minorEastAsia"/>
          <w:sz w:val="24"/>
        </w:rPr>
        <w:t>《内江师范学院教师调课申请表》，</w:t>
      </w:r>
      <w:r>
        <w:rPr>
          <w:rFonts w:asciiTheme="minorEastAsia" w:hAnsiTheme="minorEastAsia"/>
          <w:sz w:val="24"/>
        </w:rPr>
        <w:t>并附相关的证</w:t>
      </w:r>
      <w:r>
        <w:rPr>
          <w:rFonts w:hint="eastAsia" w:asciiTheme="minorEastAsia" w:hAnsiTheme="minorEastAsia"/>
          <w:sz w:val="24"/>
        </w:rPr>
        <w:t>（说）</w:t>
      </w:r>
      <w:r>
        <w:rPr>
          <w:rFonts w:asciiTheme="minorEastAsia" w:hAnsiTheme="minorEastAsia"/>
          <w:sz w:val="24"/>
        </w:rPr>
        <w:t>明材料</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（2）若采取代课方式处理，须由代课教师在申请表中签字确认；</w:t>
      </w:r>
    </w:p>
    <w:p>
      <w:pPr>
        <w:spacing w:line="360" w:lineRule="auto"/>
        <w:ind w:firstLine="480" w:firstLineChars="200"/>
        <w:rPr>
          <w:rFonts w:asciiTheme="minorEastAsia" w:hAnsiTheme="minorEastAsia"/>
          <w:sz w:val="24"/>
        </w:rPr>
      </w:pPr>
      <w:r>
        <w:rPr>
          <w:rFonts w:hint="eastAsia" w:asciiTheme="minorEastAsia" w:hAnsiTheme="minorEastAsia"/>
          <w:sz w:val="24"/>
        </w:rPr>
        <w:t>（3）开课单位</w:t>
      </w:r>
      <w:r>
        <w:rPr>
          <w:rFonts w:asciiTheme="minorEastAsia" w:hAnsiTheme="minorEastAsia"/>
          <w:sz w:val="24"/>
        </w:rPr>
        <w:t>对调课申请</w:t>
      </w:r>
      <w:r>
        <w:rPr>
          <w:rFonts w:hint="eastAsia" w:asciiTheme="minorEastAsia" w:hAnsiTheme="minorEastAsia"/>
          <w:sz w:val="24"/>
        </w:rPr>
        <w:t>表及</w:t>
      </w:r>
      <w:r>
        <w:rPr>
          <w:rFonts w:asciiTheme="minorEastAsia" w:hAnsiTheme="minorEastAsia"/>
          <w:sz w:val="24"/>
        </w:rPr>
        <w:t>证</w:t>
      </w:r>
      <w:r>
        <w:rPr>
          <w:rFonts w:hint="eastAsia" w:asciiTheme="minorEastAsia" w:hAnsiTheme="minorEastAsia"/>
          <w:sz w:val="24"/>
        </w:rPr>
        <w:t>（说）</w:t>
      </w:r>
      <w:r>
        <w:rPr>
          <w:rFonts w:asciiTheme="minorEastAsia" w:hAnsiTheme="minorEastAsia"/>
          <w:sz w:val="24"/>
        </w:rPr>
        <w:t>明材料审核并签署意见</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教师本人或其所在</w:t>
      </w:r>
      <w:r>
        <w:rPr>
          <w:rFonts w:hint="eastAsia" w:asciiTheme="minorEastAsia" w:hAnsiTheme="minorEastAsia"/>
          <w:sz w:val="24"/>
        </w:rPr>
        <w:t>教学单位将</w:t>
      </w:r>
      <w:r>
        <w:rPr>
          <w:rFonts w:asciiTheme="minorEastAsia" w:hAnsiTheme="minorEastAsia"/>
          <w:sz w:val="24"/>
        </w:rPr>
        <w:t>申请表及相关证</w:t>
      </w:r>
      <w:r>
        <w:rPr>
          <w:rFonts w:hint="eastAsia" w:asciiTheme="minorEastAsia" w:hAnsiTheme="minorEastAsia"/>
          <w:sz w:val="24"/>
        </w:rPr>
        <w:t>（说）</w:t>
      </w:r>
      <w:r>
        <w:rPr>
          <w:rFonts w:asciiTheme="minorEastAsia" w:hAnsiTheme="minorEastAsia"/>
          <w:sz w:val="24"/>
        </w:rPr>
        <w:t>明材料</w:t>
      </w:r>
      <w:r>
        <w:rPr>
          <w:rFonts w:hint="eastAsia" w:asciiTheme="minorEastAsia" w:hAnsiTheme="minorEastAsia"/>
          <w:sz w:val="24"/>
        </w:rPr>
        <w:t>报送</w:t>
      </w:r>
      <w:r>
        <w:rPr>
          <w:rFonts w:asciiTheme="minorEastAsia" w:hAnsiTheme="minorEastAsia"/>
          <w:sz w:val="24"/>
        </w:rPr>
        <w:t>教务</w:t>
      </w:r>
      <w:r>
        <w:rPr>
          <w:rFonts w:hint="eastAsia" w:asciiTheme="minorEastAsia" w:hAnsiTheme="minorEastAsia"/>
          <w:sz w:val="24"/>
        </w:rPr>
        <w:t>处备案；</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w:t>
      </w:r>
      <w:r>
        <w:rPr>
          <w:rFonts w:hint="eastAsia" w:asciiTheme="minorEastAsia" w:hAnsiTheme="minorEastAsia"/>
          <w:sz w:val="24"/>
        </w:rPr>
        <w:t>）由申请</w:t>
      </w:r>
      <w:r>
        <w:rPr>
          <w:rFonts w:asciiTheme="minorEastAsia" w:hAnsiTheme="minorEastAsia"/>
          <w:sz w:val="24"/>
        </w:rPr>
        <w:t>教师</w:t>
      </w:r>
      <w:r>
        <w:rPr>
          <w:rFonts w:hint="eastAsia" w:asciiTheme="minorEastAsia" w:hAnsiTheme="minorEastAsia"/>
          <w:sz w:val="24"/>
        </w:rPr>
        <w:t>负责通知上课学生所属二级学院及开课单位调整后的授课时间和地点。</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紧急情况下的</w:t>
      </w:r>
      <w:r>
        <w:rPr>
          <w:rFonts w:hint="eastAsia" w:asciiTheme="minorEastAsia" w:hAnsiTheme="minorEastAsia"/>
          <w:sz w:val="24"/>
        </w:rPr>
        <w:t>办理程序</w:t>
      </w:r>
    </w:p>
    <w:p>
      <w:pPr>
        <w:spacing w:line="360" w:lineRule="auto"/>
        <w:ind w:firstLine="480" w:firstLineChars="200"/>
        <w:rPr>
          <w:rFonts w:asciiTheme="minorEastAsia" w:hAnsiTheme="minorEastAsia"/>
          <w:sz w:val="24"/>
        </w:rPr>
      </w:pPr>
      <w:r>
        <w:rPr>
          <w:rFonts w:asciiTheme="minorEastAsia" w:hAnsiTheme="minorEastAsia"/>
          <w:sz w:val="24"/>
        </w:rPr>
        <w:t>教师因为突然生病、家中急事或其</w:t>
      </w:r>
      <w:r>
        <w:rPr>
          <w:rFonts w:hint="eastAsia" w:asciiTheme="minorEastAsia" w:hAnsiTheme="minorEastAsia"/>
          <w:sz w:val="24"/>
        </w:rPr>
        <w:t>它</w:t>
      </w:r>
      <w:r>
        <w:rPr>
          <w:rFonts w:asciiTheme="minorEastAsia" w:hAnsiTheme="minorEastAsia"/>
          <w:sz w:val="24"/>
        </w:rPr>
        <w:t>客观紧急事由，来不及提前</w:t>
      </w:r>
      <w:r>
        <w:rPr>
          <w:rFonts w:hint="eastAsia" w:asciiTheme="minorEastAsia" w:hAnsiTheme="minorEastAsia"/>
          <w:sz w:val="24"/>
        </w:rPr>
        <w:t>办理</w:t>
      </w:r>
      <w:r>
        <w:rPr>
          <w:rFonts w:asciiTheme="minorEastAsia" w:hAnsiTheme="minorEastAsia"/>
          <w:sz w:val="24"/>
        </w:rPr>
        <w:t>申请，可按照紧急情况下的申请程序办理手续。</w:t>
      </w:r>
      <w:r>
        <w:rPr>
          <w:rFonts w:hint="eastAsia" w:asciiTheme="minorEastAsia" w:hAnsiTheme="minorEastAsia"/>
          <w:sz w:val="24"/>
        </w:rPr>
        <w:t>办理</w:t>
      </w:r>
      <w:r>
        <w:rPr>
          <w:rFonts w:asciiTheme="minorEastAsia" w:hAnsiTheme="minorEastAsia"/>
          <w:sz w:val="24"/>
        </w:rPr>
        <w:t>程序为：</w:t>
      </w:r>
    </w:p>
    <w:p>
      <w:pPr>
        <w:spacing w:line="360" w:lineRule="auto"/>
        <w:ind w:firstLine="480" w:firstLineChars="200"/>
        <w:rPr>
          <w:rFonts w:asciiTheme="minorEastAsia" w:hAnsiTheme="minorEastAsia"/>
          <w:sz w:val="24"/>
        </w:rPr>
      </w:pPr>
      <w:r>
        <w:rPr>
          <w:rFonts w:asciiTheme="minorEastAsia" w:hAnsiTheme="minorEastAsia"/>
          <w:sz w:val="24"/>
        </w:rPr>
        <w:t>（1）教师因客观紧急情况必须申请当天停课</w:t>
      </w:r>
      <w:r>
        <w:rPr>
          <w:rFonts w:hint="eastAsia" w:asciiTheme="minorEastAsia" w:hAnsiTheme="minorEastAsia"/>
          <w:sz w:val="24"/>
        </w:rPr>
        <w:t>的</w:t>
      </w:r>
      <w:r>
        <w:rPr>
          <w:rFonts w:asciiTheme="minorEastAsia" w:hAnsiTheme="minorEastAsia"/>
          <w:sz w:val="24"/>
        </w:rPr>
        <w:t>，先以口头方式</w:t>
      </w:r>
      <w:r>
        <w:rPr>
          <w:rFonts w:hint="eastAsia" w:asciiTheme="minorEastAsia" w:hAnsiTheme="minorEastAsia"/>
          <w:sz w:val="24"/>
        </w:rPr>
        <w:t>告</w:t>
      </w:r>
      <w:r>
        <w:rPr>
          <w:rFonts w:asciiTheme="minorEastAsia" w:hAnsiTheme="minorEastAsia"/>
          <w:sz w:val="24"/>
        </w:rPr>
        <w:t>知</w:t>
      </w:r>
      <w:r>
        <w:rPr>
          <w:rFonts w:hint="eastAsia" w:asciiTheme="minorEastAsia" w:hAnsiTheme="minorEastAsia"/>
          <w:sz w:val="24"/>
        </w:rPr>
        <w:t>开课单位</w:t>
      </w:r>
      <w:r>
        <w:rPr>
          <w:rFonts w:asciiTheme="minorEastAsia" w:hAnsiTheme="minorEastAsia"/>
          <w:sz w:val="24"/>
        </w:rPr>
        <w:t>教学</w:t>
      </w:r>
      <w:r>
        <w:rPr>
          <w:rFonts w:hint="eastAsia" w:asciiTheme="minorEastAsia" w:hAnsiTheme="minorEastAsia"/>
          <w:sz w:val="24"/>
        </w:rPr>
        <w:t>管理人员；</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开课单位</w:t>
      </w:r>
      <w:r>
        <w:rPr>
          <w:rFonts w:asciiTheme="minorEastAsia" w:hAnsiTheme="minorEastAsia"/>
          <w:sz w:val="24"/>
        </w:rPr>
        <w:t>教学</w:t>
      </w:r>
      <w:r>
        <w:rPr>
          <w:rFonts w:hint="eastAsia" w:asciiTheme="minorEastAsia" w:hAnsiTheme="minorEastAsia"/>
          <w:sz w:val="24"/>
        </w:rPr>
        <w:t>管理人员</w:t>
      </w:r>
      <w:r>
        <w:rPr>
          <w:rFonts w:asciiTheme="minorEastAsia" w:hAnsiTheme="minorEastAsia"/>
          <w:sz w:val="24"/>
        </w:rPr>
        <w:t>以口头方式通知</w:t>
      </w:r>
      <w:r>
        <w:rPr>
          <w:rFonts w:hint="eastAsia" w:asciiTheme="minorEastAsia" w:hAnsiTheme="minorEastAsia"/>
          <w:sz w:val="24"/>
        </w:rPr>
        <w:t>教务处教学行政管理科并</w:t>
      </w:r>
      <w:r>
        <w:rPr>
          <w:rFonts w:asciiTheme="minorEastAsia" w:hAnsiTheme="minorEastAsia"/>
          <w:sz w:val="24"/>
        </w:rPr>
        <w:t>及时备案</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由开课教学单位负责通知上课学生；</w:t>
      </w:r>
    </w:p>
    <w:p>
      <w:pPr>
        <w:spacing w:line="360" w:lineRule="auto"/>
        <w:ind w:firstLine="480" w:firstLineChars="200"/>
        <w:rPr>
          <w:rFonts w:asciiTheme="minorEastAsia" w:hAnsiTheme="minorEastAsia"/>
          <w:sz w:val="24"/>
        </w:rPr>
      </w:pPr>
      <w:r>
        <w:rPr>
          <w:rFonts w:asciiTheme="minorEastAsia" w:hAnsiTheme="minorEastAsia"/>
          <w:sz w:val="24"/>
        </w:rPr>
        <w:t>（4）教师须在</w:t>
      </w:r>
      <w:r>
        <w:rPr>
          <w:rFonts w:hint="eastAsia" w:asciiTheme="minorEastAsia" w:hAnsiTheme="minorEastAsia"/>
          <w:sz w:val="24"/>
        </w:rPr>
        <w:t>5个工作</w:t>
      </w:r>
      <w:r>
        <w:rPr>
          <w:rFonts w:asciiTheme="minorEastAsia" w:hAnsiTheme="minorEastAsia"/>
          <w:sz w:val="24"/>
        </w:rPr>
        <w:t>日内补办</w:t>
      </w:r>
      <w:r>
        <w:rPr>
          <w:rFonts w:hint="eastAsia" w:asciiTheme="minorEastAsia" w:hAnsiTheme="minorEastAsia"/>
          <w:sz w:val="24"/>
        </w:rPr>
        <w:t>相应手续</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hint="eastAsia" w:asciiTheme="minorEastAsia" w:hAnsiTheme="minorEastAsia"/>
          <w:b/>
          <w:sz w:val="24"/>
        </w:rPr>
        <w:t>三、</w:t>
      </w:r>
      <w:r>
        <w:rPr>
          <w:rFonts w:asciiTheme="minorEastAsia" w:hAnsiTheme="minorEastAsia"/>
          <w:b/>
          <w:sz w:val="24"/>
        </w:rPr>
        <w:t>本</w:t>
      </w:r>
      <w:r>
        <w:rPr>
          <w:rFonts w:hint="eastAsia" w:asciiTheme="minorEastAsia" w:hAnsiTheme="minorEastAsia"/>
          <w:b/>
          <w:sz w:val="24"/>
        </w:rPr>
        <w:t>规定</w:t>
      </w:r>
      <w:r>
        <w:rPr>
          <w:rFonts w:asciiTheme="minorEastAsia" w:hAnsiTheme="minorEastAsia"/>
          <w:b/>
          <w:sz w:val="24"/>
        </w:rPr>
        <w:t>自</w:t>
      </w:r>
      <w:r>
        <w:rPr>
          <w:rFonts w:hint="eastAsia" w:asciiTheme="minorEastAsia" w:hAnsiTheme="minorEastAsia"/>
          <w:b/>
          <w:sz w:val="24"/>
        </w:rPr>
        <w:t>发文</w:t>
      </w:r>
      <w:r>
        <w:rPr>
          <w:rFonts w:asciiTheme="minorEastAsia" w:hAnsiTheme="minorEastAsia"/>
          <w:b/>
          <w:sz w:val="24"/>
        </w:rPr>
        <w:t>之日起</w:t>
      </w:r>
      <w:r>
        <w:rPr>
          <w:rFonts w:hint="eastAsia" w:asciiTheme="minorEastAsia" w:hAnsiTheme="minorEastAsia"/>
          <w:b/>
          <w:sz w:val="24"/>
        </w:rPr>
        <w:t>执行，由教务处负责解释。</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二○一五年四月十日</w:t>
      </w:r>
    </w:p>
    <w:p>
      <w:pPr>
        <w:spacing w:line="360" w:lineRule="auto"/>
        <w:rPr>
          <w:rFonts w:asciiTheme="minorEastAsia" w:hAnsiTheme="minorEastAsia"/>
          <w:sz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bCs/>
          <w:w w:val="90"/>
          <w:sz w:val="32"/>
          <w:szCs w:val="32"/>
        </w:rPr>
      </w:pPr>
      <w:r>
        <w:rPr>
          <w:rFonts w:hint="eastAsia" w:asciiTheme="majorEastAsia" w:hAnsiTheme="majorEastAsia" w:eastAsiaTheme="majorEastAsia"/>
          <w:b/>
          <w:bCs/>
          <w:w w:val="90"/>
          <w:sz w:val="32"/>
          <w:szCs w:val="32"/>
        </w:rPr>
        <w:t>内江师范学院结业生返校重修管理办法(修订)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内师教字〔2014〕77号</w:t>
      </w:r>
    </w:p>
    <w:p>
      <w:pPr>
        <w:spacing w:line="560" w:lineRule="exact"/>
        <w:jc w:val="center"/>
        <w:rPr>
          <w:rFonts w:ascii="方正仿宋简体" w:eastAsia="方正仿宋简体"/>
          <w:b/>
          <w:bCs/>
          <w:szCs w:val="32"/>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为保障学生的合法权益，规范结业生重修管理工作，特制定本管理办法。</w:t>
      </w:r>
    </w:p>
    <w:p>
      <w:pPr>
        <w:pStyle w:val="19"/>
        <w:spacing w:line="360" w:lineRule="auto"/>
        <w:ind w:firstLine="482"/>
        <w:rPr>
          <w:rFonts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 xml:space="preserve">第一条 </w:t>
      </w:r>
      <w:r>
        <w:rPr>
          <w:rFonts w:hint="eastAsia" w:asciiTheme="minorEastAsia" w:hAnsiTheme="minorEastAsia" w:eastAsiaTheme="minorEastAsia"/>
          <w:kern w:val="0"/>
          <w:sz w:val="24"/>
          <w:szCs w:val="24"/>
        </w:rPr>
        <w:t xml:space="preserve"> 学生在规定的学习年限内，修完教育教学计划规定内容，虽未达到毕业要求但符合下列条件之一的，按下列办法处理：</w:t>
      </w:r>
    </w:p>
    <w:p>
      <w:pPr>
        <w:pStyle w:val="19"/>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1. 本、专科学生在标准学制学习年限内未取得的学分总数在教学计划规定总学分数的1/10以内（含1/10）者，作结业处理，发给结业证书。 </w:t>
      </w:r>
    </w:p>
    <w:p>
      <w:pPr>
        <w:pStyle w:val="19"/>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 教育实习或专业实习及毕业设计（论文） 考核不及格者，发给结业证书。</w:t>
      </w:r>
    </w:p>
    <w:p>
      <w:pPr>
        <w:pStyle w:val="19"/>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 结业生离校后，三个月后至规定的最长学习年限内，由本人提出申请，经所在学院同意，教务处核实，学校批准，每门课程可跟班重修一次，实习、毕业论文（设计）可补作一次，达到毕业要求者可颁发毕业证书，毕业时间按发证日期填写。超过最长修业年限仍未达到毕业要求者，作永久结业处理。</w:t>
      </w:r>
    </w:p>
    <w:p>
      <w:pPr>
        <w:pStyle w:val="19"/>
        <w:spacing w:line="360" w:lineRule="auto"/>
        <w:ind w:firstLine="482"/>
        <w:rPr>
          <w:rFonts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第二条</w:t>
      </w:r>
      <w:r>
        <w:rPr>
          <w:rFonts w:hint="eastAsia" w:asciiTheme="minorEastAsia" w:hAnsiTheme="minorEastAsia" w:eastAsiaTheme="minorEastAsia"/>
          <w:kern w:val="0"/>
          <w:sz w:val="24"/>
          <w:szCs w:val="24"/>
        </w:rPr>
        <w:t xml:space="preserve">  毕业前最后一学期因违反考场纪律造成成绩不及格而作结业处理的学生，必须由所在地或工作单位出具其本人政治思想和现实工作表现的材料，经教务处审核同意后，可获得返校重修的资格。</w:t>
      </w:r>
    </w:p>
    <w:p>
      <w:pPr>
        <w:spacing w:line="360" w:lineRule="auto"/>
        <w:ind w:firstLine="482" w:firstLineChars="200"/>
        <w:rPr>
          <w:rFonts w:asciiTheme="minorEastAsia" w:hAnsiTheme="minorEastAsia"/>
          <w:sz w:val="24"/>
          <w:szCs w:val="24"/>
        </w:rPr>
      </w:pPr>
      <w:r>
        <w:rPr>
          <w:rFonts w:hint="eastAsia" w:cs="宋体" w:asciiTheme="minorEastAsia" w:hAnsiTheme="minorEastAsia"/>
          <w:b/>
          <w:sz w:val="24"/>
          <w:szCs w:val="24"/>
        </w:rPr>
        <w:t>第三条</w:t>
      </w:r>
      <w:r>
        <w:rPr>
          <w:rFonts w:hint="eastAsia" w:asciiTheme="minorEastAsia" w:hAnsiTheme="minorEastAsia"/>
          <w:sz w:val="24"/>
          <w:szCs w:val="24"/>
        </w:rPr>
        <w:t xml:space="preserve">  结业生返校重修工作由教务处负责组织。教务处根据学生申请重修的课程，通知相关学院安排课程跟班重修和考试。</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第四条</w:t>
      </w:r>
      <w:r>
        <w:rPr>
          <w:rFonts w:hint="eastAsia" w:asciiTheme="minorEastAsia" w:hAnsiTheme="minorEastAsia"/>
          <w:sz w:val="24"/>
          <w:szCs w:val="24"/>
        </w:rPr>
        <w:t xml:space="preserve">  结业生回校重修时，应带上结业证书，重修课程考试成绩合格可换发毕业证书。</w:t>
      </w:r>
    </w:p>
    <w:p>
      <w:pPr>
        <w:spacing w:line="360" w:lineRule="auto"/>
        <w:ind w:firstLine="472" w:firstLineChars="196"/>
        <w:rPr>
          <w:rFonts w:asciiTheme="minorEastAsia" w:hAnsiTheme="minorEastAsia"/>
          <w:sz w:val="24"/>
          <w:szCs w:val="24"/>
        </w:rPr>
      </w:pPr>
      <w:r>
        <w:rPr>
          <w:rFonts w:hint="eastAsia" w:cs="宋体" w:asciiTheme="minorEastAsia" w:hAnsiTheme="minorEastAsia"/>
          <w:b/>
          <w:sz w:val="24"/>
          <w:szCs w:val="24"/>
        </w:rPr>
        <w:t>第五条</w:t>
      </w:r>
      <w:r>
        <w:rPr>
          <w:rFonts w:hint="eastAsia" w:asciiTheme="minorEastAsia" w:hAnsiTheme="minorEastAsia"/>
          <w:b/>
          <w:bCs/>
          <w:sz w:val="24"/>
          <w:szCs w:val="24"/>
        </w:rPr>
        <w:t xml:space="preserve"> </w:t>
      </w:r>
      <w:r>
        <w:rPr>
          <w:rFonts w:hint="eastAsia" w:asciiTheme="minorEastAsia" w:hAnsiTheme="minorEastAsia"/>
          <w:sz w:val="24"/>
          <w:szCs w:val="24"/>
        </w:rPr>
        <w:t xml:space="preserve"> 对已作结业处理的学生，如规定的最长学习年限内不提出申请回校重修者，视为自动放弃重修资格，学校将不再受理其重修申请，作永久性结业处理。</w:t>
      </w:r>
    </w:p>
    <w:p>
      <w:pPr>
        <w:spacing w:line="360" w:lineRule="auto"/>
        <w:ind w:firstLine="472" w:firstLineChars="196"/>
        <w:rPr>
          <w:rFonts w:asciiTheme="minorEastAsia" w:hAnsiTheme="minorEastAsia"/>
          <w:sz w:val="24"/>
          <w:szCs w:val="24"/>
        </w:rPr>
      </w:pPr>
      <w:r>
        <w:rPr>
          <w:rFonts w:hint="eastAsia" w:cs="宋体" w:asciiTheme="minorEastAsia" w:hAnsiTheme="minorEastAsia"/>
          <w:b/>
          <w:sz w:val="24"/>
          <w:szCs w:val="24"/>
        </w:rPr>
        <w:t xml:space="preserve">第六条  </w:t>
      </w:r>
      <w:r>
        <w:rPr>
          <w:rFonts w:hint="eastAsia" w:asciiTheme="minorEastAsia" w:hAnsiTheme="minorEastAsia"/>
          <w:sz w:val="24"/>
          <w:szCs w:val="24"/>
        </w:rPr>
        <w:t>返校补考结业生的食、宿、交通等费用均自理。</w:t>
      </w:r>
    </w:p>
    <w:p>
      <w:pPr>
        <w:pStyle w:val="6"/>
        <w:spacing w:line="360" w:lineRule="auto"/>
        <w:ind w:firstLine="472" w:firstLineChars="196"/>
        <w:jc w:val="both"/>
        <w:rPr>
          <w:rFonts w:asciiTheme="minorEastAsia" w:hAnsiTheme="minorEastAsia" w:eastAsiaTheme="minorEastAsia"/>
          <w:sz w:val="24"/>
        </w:rPr>
      </w:pPr>
      <w:r>
        <w:rPr>
          <w:rFonts w:hint="eastAsia" w:cs="宋体" w:asciiTheme="minorEastAsia" w:hAnsiTheme="minorEastAsia" w:eastAsiaTheme="minorEastAsia"/>
          <w:b/>
          <w:sz w:val="24"/>
        </w:rPr>
        <w:t>第七条</w:t>
      </w:r>
      <w:r>
        <w:rPr>
          <w:rFonts w:hint="eastAsia" w:asciiTheme="minorEastAsia" w:hAnsiTheme="minorEastAsia" w:eastAsiaTheme="minorEastAsia"/>
          <w:b/>
          <w:bCs/>
          <w:sz w:val="24"/>
        </w:rPr>
        <w:t xml:space="preserve">  </w:t>
      </w:r>
      <w:r>
        <w:rPr>
          <w:rFonts w:hint="eastAsia" w:asciiTheme="minorEastAsia" w:hAnsiTheme="minorEastAsia" w:eastAsiaTheme="minorEastAsia"/>
          <w:sz w:val="24"/>
        </w:rPr>
        <w:t>结业生重修课程收费标准按照物价局审批执行。</w:t>
      </w:r>
    </w:p>
    <w:p>
      <w:pPr>
        <w:spacing w:line="360" w:lineRule="auto"/>
        <w:ind w:firstLine="472" w:firstLineChars="196"/>
        <w:rPr>
          <w:rFonts w:asciiTheme="minorEastAsia" w:hAnsiTheme="minorEastAsia"/>
          <w:sz w:val="24"/>
          <w:szCs w:val="24"/>
        </w:rPr>
      </w:pPr>
      <w:r>
        <w:rPr>
          <w:rFonts w:hint="eastAsia" w:cs="宋体" w:asciiTheme="minorEastAsia" w:hAnsiTheme="minorEastAsia"/>
          <w:b/>
          <w:sz w:val="24"/>
          <w:szCs w:val="24"/>
        </w:rPr>
        <w:t>第八条</w:t>
      </w:r>
      <w:r>
        <w:rPr>
          <w:rFonts w:hint="eastAsia" w:asciiTheme="minorEastAsia" w:hAnsiTheme="minorEastAsia"/>
          <w:sz w:val="24"/>
          <w:szCs w:val="24"/>
        </w:rPr>
        <w:t xml:space="preserve">  本办法自发文之日起执行，由教务处负责解释。</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附件：结业生返校重修申请表</w:t>
      </w: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2014年6月27日</w:t>
      </w:r>
    </w:p>
    <w:p>
      <w:pPr>
        <w:spacing w:line="360" w:lineRule="auto"/>
        <w:jc w:val="center"/>
        <w:rPr>
          <w:rFonts w:ascii="黑体" w:eastAsia="黑体"/>
          <w:sz w:val="36"/>
          <w:szCs w:val="36"/>
        </w:rPr>
      </w:pPr>
    </w:p>
    <w:p>
      <w:pPr>
        <w:spacing w:line="360" w:lineRule="auto"/>
        <w:jc w:val="left"/>
        <w:rPr>
          <w:rFonts w:asciiTheme="minorEastAsia" w:hAnsiTheme="minorEastAsia"/>
          <w:b/>
          <w:sz w:val="28"/>
          <w:szCs w:val="28"/>
        </w:rPr>
      </w:pPr>
      <w:r>
        <w:rPr>
          <w:rFonts w:asciiTheme="minorEastAsia" w:hAnsiTheme="minorEastAsia"/>
          <w:b/>
          <w:sz w:val="28"/>
          <w:szCs w:val="28"/>
        </w:rPr>
        <w:t>附件</w:t>
      </w:r>
    </w:p>
    <w:p>
      <w:pPr>
        <w:spacing w:line="360" w:lineRule="auto"/>
        <w:jc w:val="center"/>
        <w:rPr>
          <w:rFonts w:ascii="黑体" w:eastAsia="黑体"/>
          <w:sz w:val="32"/>
          <w:szCs w:val="32"/>
        </w:rPr>
      </w:pPr>
      <w:r>
        <w:rPr>
          <w:rFonts w:hint="eastAsia" w:ascii="黑体" w:eastAsia="黑体"/>
          <w:sz w:val="32"/>
          <w:szCs w:val="32"/>
        </w:rPr>
        <w:t>结业生返校重修申请表</w:t>
      </w:r>
    </w:p>
    <w:tbl>
      <w:tblPr>
        <w:tblStyle w:val="15"/>
        <w:tblW w:w="87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4"/>
        <w:gridCol w:w="1802"/>
        <w:gridCol w:w="1443"/>
        <w:gridCol w:w="1620"/>
        <w:gridCol w:w="1257"/>
        <w:gridCol w:w="108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614" w:hRule="atLeast"/>
        </w:trPr>
        <w:tc>
          <w:tcPr>
            <w:tcW w:w="1494" w:type="dxa"/>
            <w:vAlign w:val="center"/>
          </w:tcPr>
          <w:p>
            <w:pPr>
              <w:spacing w:line="440" w:lineRule="exact"/>
              <w:ind w:right="57"/>
              <w:jc w:val="center"/>
              <w:rPr>
                <w:rFonts w:ascii="宋体" w:hAnsi="宋体"/>
                <w:bCs/>
                <w:sz w:val="22"/>
              </w:rPr>
            </w:pPr>
            <w:r>
              <w:rPr>
                <w:rFonts w:hint="eastAsia" w:ascii="宋体" w:hAnsi="宋体"/>
                <w:bCs/>
                <w:sz w:val="22"/>
              </w:rPr>
              <w:t>学  院</w:t>
            </w:r>
          </w:p>
        </w:tc>
        <w:tc>
          <w:tcPr>
            <w:tcW w:w="1802" w:type="dxa"/>
            <w:vAlign w:val="center"/>
          </w:tcPr>
          <w:p>
            <w:pPr>
              <w:spacing w:line="440" w:lineRule="exact"/>
              <w:ind w:right="57"/>
              <w:jc w:val="center"/>
              <w:rPr>
                <w:rFonts w:ascii="宋体" w:hAnsi="宋体"/>
                <w:bCs/>
                <w:sz w:val="22"/>
              </w:rPr>
            </w:pPr>
          </w:p>
        </w:tc>
        <w:tc>
          <w:tcPr>
            <w:tcW w:w="1443" w:type="dxa"/>
            <w:vAlign w:val="center"/>
          </w:tcPr>
          <w:p>
            <w:pPr>
              <w:spacing w:line="440" w:lineRule="exact"/>
              <w:ind w:right="57"/>
              <w:jc w:val="center"/>
              <w:rPr>
                <w:rFonts w:ascii="宋体" w:hAnsi="宋体"/>
                <w:bCs/>
                <w:sz w:val="22"/>
              </w:rPr>
            </w:pPr>
            <w:r>
              <w:rPr>
                <w:rFonts w:hint="eastAsia" w:ascii="宋体" w:hAnsi="宋体"/>
                <w:bCs/>
                <w:sz w:val="22"/>
              </w:rPr>
              <w:t>学号</w:t>
            </w:r>
          </w:p>
        </w:tc>
        <w:tc>
          <w:tcPr>
            <w:tcW w:w="1620" w:type="dxa"/>
            <w:vAlign w:val="center"/>
          </w:tcPr>
          <w:p>
            <w:pPr>
              <w:spacing w:line="440" w:lineRule="exact"/>
              <w:ind w:right="57"/>
              <w:jc w:val="center"/>
              <w:rPr>
                <w:rFonts w:ascii="宋体" w:hAnsi="宋体"/>
                <w:bCs/>
                <w:sz w:val="22"/>
              </w:rPr>
            </w:pPr>
          </w:p>
        </w:tc>
        <w:tc>
          <w:tcPr>
            <w:tcW w:w="1257" w:type="dxa"/>
            <w:vAlign w:val="center"/>
          </w:tcPr>
          <w:p>
            <w:pPr>
              <w:spacing w:line="440" w:lineRule="exact"/>
              <w:ind w:right="57"/>
              <w:jc w:val="center"/>
              <w:rPr>
                <w:rFonts w:ascii="宋体" w:hAnsi="宋体"/>
                <w:bCs/>
                <w:sz w:val="22"/>
              </w:rPr>
            </w:pPr>
            <w:r>
              <w:rPr>
                <w:rFonts w:hint="eastAsia" w:ascii="宋体" w:hAnsi="宋体"/>
                <w:bCs/>
                <w:sz w:val="22"/>
              </w:rPr>
              <w:t>班级</w:t>
            </w:r>
          </w:p>
        </w:tc>
        <w:tc>
          <w:tcPr>
            <w:tcW w:w="1080" w:type="dxa"/>
            <w:vAlign w:val="center"/>
          </w:tcPr>
          <w:p>
            <w:pPr>
              <w:spacing w:line="440" w:lineRule="exact"/>
              <w:ind w:right="57"/>
              <w:jc w:val="center"/>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atLeast"/>
        </w:trPr>
        <w:tc>
          <w:tcPr>
            <w:tcW w:w="1494" w:type="dxa"/>
            <w:vAlign w:val="center"/>
          </w:tcPr>
          <w:p>
            <w:pPr>
              <w:spacing w:line="440" w:lineRule="exact"/>
              <w:ind w:right="57"/>
              <w:jc w:val="center"/>
              <w:rPr>
                <w:rFonts w:ascii="宋体" w:hAnsi="宋体"/>
                <w:bCs/>
                <w:sz w:val="22"/>
              </w:rPr>
            </w:pPr>
            <w:r>
              <w:rPr>
                <w:rFonts w:hint="eastAsia" w:ascii="宋体" w:hAnsi="宋体"/>
                <w:bCs/>
                <w:sz w:val="22"/>
              </w:rPr>
              <w:t>姓  名</w:t>
            </w:r>
          </w:p>
        </w:tc>
        <w:tc>
          <w:tcPr>
            <w:tcW w:w="1802" w:type="dxa"/>
            <w:vAlign w:val="center"/>
          </w:tcPr>
          <w:p>
            <w:pPr>
              <w:spacing w:line="440" w:lineRule="exact"/>
              <w:ind w:right="57"/>
              <w:jc w:val="center"/>
              <w:rPr>
                <w:rFonts w:ascii="宋体" w:hAnsi="宋体"/>
                <w:bCs/>
                <w:sz w:val="22"/>
              </w:rPr>
            </w:pPr>
          </w:p>
        </w:tc>
        <w:tc>
          <w:tcPr>
            <w:tcW w:w="1443" w:type="dxa"/>
            <w:vAlign w:val="center"/>
          </w:tcPr>
          <w:p>
            <w:pPr>
              <w:spacing w:line="440" w:lineRule="exact"/>
              <w:ind w:right="57"/>
              <w:jc w:val="center"/>
              <w:rPr>
                <w:rFonts w:ascii="宋体" w:hAnsi="宋体"/>
                <w:bCs/>
                <w:sz w:val="22"/>
              </w:rPr>
            </w:pPr>
            <w:r>
              <w:rPr>
                <w:rFonts w:hint="eastAsia" w:ascii="宋体" w:hAnsi="宋体"/>
                <w:bCs/>
                <w:sz w:val="22"/>
              </w:rPr>
              <w:t>专业</w:t>
            </w:r>
          </w:p>
        </w:tc>
        <w:tc>
          <w:tcPr>
            <w:tcW w:w="3965" w:type="dxa"/>
            <w:gridSpan w:val="4"/>
            <w:vAlign w:val="center"/>
          </w:tcPr>
          <w:p>
            <w:pPr>
              <w:spacing w:line="440" w:lineRule="exact"/>
              <w:ind w:right="57"/>
              <w:jc w:val="center"/>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3717" w:hRule="atLeast"/>
        </w:trPr>
        <w:tc>
          <w:tcPr>
            <w:tcW w:w="8696" w:type="dxa"/>
            <w:gridSpan w:val="6"/>
            <w:tcBorders>
              <w:bottom w:val="single" w:color="auto" w:sz="4" w:space="0"/>
            </w:tcBorders>
          </w:tcPr>
          <w:p>
            <w:pPr>
              <w:spacing w:line="440" w:lineRule="exact"/>
              <w:ind w:right="57"/>
              <w:jc w:val="center"/>
              <w:rPr>
                <w:rFonts w:ascii="宋体" w:hAnsi="宋体"/>
                <w:bCs/>
                <w:sz w:val="22"/>
              </w:rPr>
            </w:pPr>
          </w:p>
          <w:p>
            <w:pPr>
              <w:spacing w:line="440" w:lineRule="exact"/>
              <w:ind w:right="57"/>
              <w:rPr>
                <w:rFonts w:ascii="宋体" w:hAnsi="宋体"/>
                <w:bCs/>
                <w:sz w:val="22"/>
              </w:rPr>
            </w:pPr>
            <w:r>
              <w:rPr>
                <w:rFonts w:hint="eastAsia" w:ascii="宋体" w:hAnsi="宋体"/>
                <w:bCs/>
                <w:sz w:val="22"/>
              </w:rPr>
              <w:t xml:space="preserve">    我是      届   科结业生，根据《内江师范学院结业生返校重修管理办法》文件精神，现返校申请重修，我将严格按照管理办法要求，完成课程的重修和考试。</w:t>
            </w:r>
          </w:p>
          <w:p>
            <w:pPr>
              <w:spacing w:line="440" w:lineRule="exact"/>
              <w:ind w:right="57"/>
              <w:rPr>
                <w:rFonts w:ascii="宋体" w:hAnsi="宋体"/>
                <w:bCs/>
                <w:sz w:val="22"/>
              </w:rPr>
            </w:pPr>
          </w:p>
          <w:p>
            <w:pPr>
              <w:spacing w:line="440" w:lineRule="exact"/>
              <w:ind w:right="57"/>
              <w:rPr>
                <w:rFonts w:ascii="宋体" w:hAnsi="宋体"/>
                <w:bCs/>
                <w:sz w:val="22"/>
              </w:rPr>
            </w:pPr>
          </w:p>
          <w:p>
            <w:pPr>
              <w:spacing w:line="440" w:lineRule="exact"/>
              <w:ind w:right="57"/>
              <w:rPr>
                <w:rFonts w:ascii="宋体" w:hAnsi="宋体"/>
                <w:bCs/>
                <w:sz w:val="22"/>
              </w:rPr>
            </w:pPr>
          </w:p>
          <w:p>
            <w:pPr>
              <w:spacing w:line="440" w:lineRule="exact"/>
              <w:ind w:right="57"/>
              <w:rPr>
                <w:rFonts w:ascii="宋体" w:hAnsi="宋体"/>
                <w:bCs/>
                <w:sz w:val="22"/>
              </w:rPr>
            </w:pPr>
            <w:r>
              <w:rPr>
                <w:rFonts w:hint="eastAsia" w:ascii="宋体" w:hAnsi="宋体"/>
                <w:bCs/>
                <w:sz w:val="22"/>
              </w:rPr>
              <w:t xml:space="preserve">                                                       申请人：</w:t>
            </w:r>
          </w:p>
          <w:p>
            <w:pPr>
              <w:spacing w:line="440" w:lineRule="exact"/>
              <w:ind w:right="57"/>
              <w:rPr>
                <w:rFonts w:ascii="宋体" w:hAnsi="宋体"/>
                <w:bCs/>
                <w:sz w:val="22"/>
              </w:rPr>
            </w:pPr>
            <w:r>
              <w:rPr>
                <w:rFonts w:hint="eastAsia" w:ascii="宋体" w:hAnsi="宋体"/>
                <w:bCs/>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525" w:hRule="atLeast"/>
        </w:trPr>
        <w:tc>
          <w:tcPr>
            <w:tcW w:w="8696" w:type="dxa"/>
            <w:gridSpan w:val="6"/>
            <w:vAlign w:val="center"/>
          </w:tcPr>
          <w:p>
            <w:pPr>
              <w:spacing w:line="440" w:lineRule="exact"/>
              <w:ind w:right="57"/>
              <w:jc w:val="center"/>
              <w:rPr>
                <w:rFonts w:ascii="宋体" w:hAnsi="宋体"/>
                <w:bCs/>
                <w:sz w:val="22"/>
              </w:rPr>
            </w:pPr>
            <w:r>
              <w:rPr>
                <w:rFonts w:hint="eastAsia" w:ascii="宋体" w:hAnsi="宋体"/>
                <w:bCs/>
                <w:sz w:val="22"/>
              </w:rPr>
              <w:t>申请重修课程名称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525" w:hRule="atLeast"/>
        </w:trPr>
        <w:tc>
          <w:tcPr>
            <w:tcW w:w="8696" w:type="dxa"/>
            <w:gridSpan w:val="6"/>
            <w:vAlign w:val="center"/>
          </w:tcPr>
          <w:p>
            <w:pPr>
              <w:spacing w:line="440" w:lineRule="exact"/>
              <w:ind w:right="57"/>
              <w:rPr>
                <w:rFonts w:ascii="宋体" w:hAnsi="宋体"/>
                <w:bCs/>
                <w:sz w:val="22"/>
              </w:rPr>
            </w:pPr>
            <w:r>
              <w:rPr>
                <w:rFonts w:hint="eastAsia" w:ascii="宋体" w:hAnsi="宋体"/>
                <w:bCs/>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525" w:hRule="atLeast"/>
        </w:trPr>
        <w:tc>
          <w:tcPr>
            <w:tcW w:w="8696" w:type="dxa"/>
            <w:gridSpan w:val="6"/>
            <w:vAlign w:val="center"/>
          </w:tcPr>
          <w:p>
            <w:pPr>
              <w:spacing w:line="440" w:lineRule="exact"/>
              <w:ind w:right="57"/>
              <w:rPr>
                <w:rFonts w:ascii="宋体" w:hAnsi="宋体"/>
                <w:bCs/>
                <w:sz w:val="22"/>
              </w:rPr>
            </w:pPr>
            <w:r>
              <w:rPr>
                <w:rFonts w:hint="eastAsia" w:ascii="宋体" w:hAnsi="宋体"/>
                <w:bCs/>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2459" w:hRule="atLeast"/>
        </w:trPr>
        <w:tc>
          <w:tcPr>
            <w:tcW w:w="8696" w:type="dxa"/>
            <w:gridSpan w:val="6"/>
            <w:tcBorders>
              <w:bottom w:val="single" w:color="auto" w:sz="4" w:space="0"/>
            </w:tcBorders>
            <w:vAlign w:val="center"/>
          </w:tcPr>
          <w:p>
            <w:pPr>
              <w:spacing w:line="440" w:lineRule="exact"/>
              <w:ind w:right="57"/>
              <w:rPr>
                <w:rFonts w:ascii="宋体" w:hAnsi="宋体"/>
                <w:bCs/>
                <w:sz w:val="22"/>
              </w:rPr>
            </w:pPr>
            <w:r>
              <w:rPr>
                <w:rFonts w:hint="eastAsia" w:ascii="宋体" w:hAnsi="宋体"/>
                <w:bCs/>
                <w:sz w:val="22"/>
              </w:rPr>
              <w:t>学院意见：</w:t>
            </w:r>
          </w:p>
          <w:p>
            <w:pPr>
              <w:spacing w:line="440" w:lineRule="exact"/>
              <w:ind w:right="57" w:firstLine="5029" w:firstLineChars="2286"/>
              <w:rPr>
                <w:rFonts w:ascii="宋体" w:hAnsi="宋体"/>
                <w:bCs/>
                <w:sz w:val="22"/>
              </w:rPr>
            </w:pPr>
          </w:p>
          <w:p>
            <w:pPr>
              <w:spacing w:line="440" w:lineRule="exact"/>
              <w:ind w:right="57" w:firstLine="5029" w:firstLineChars="2286"/>
              <w:rPr>
                <w:rFonts w:ascii="宋体" w:hAnsi="宋体"/>
                <w:bCs/>
                <w:sz w:val="22"/>
              </w:rPr>
            </w:pPr>
          </w:p>
          <w:p>
            <w:pPr>
              <w:spacing w:line="440" w:lineRule="exact"/>
              <w:ind w:right="57"/>
              <w:rPr>
                <w:rFonts w:ascii="宋体" w:hAnsi="宋体"/>
                <w:bCs/>
                <w:sz w:val="22"/>
              </w:rPr>
            </w:pPr>
            <w:r>
              <w:rPr>
                <w:rFonts w:hint="eastAsia" w:ascii="宋体" w:hAnsi="宋体"/>
                <w:bCs/>
                <w:sz w:val="22"/>
              </w:rPr>
              <w:t xml:space="preserve">                                 院长签名：              </w:t>
            </w:r>
            <w:r>
              <w:rPr>
                <w:rFonts w:hint="eastAsia" w:ascii="宋体" w:hAnsi="宋体"/>
                <w:sz w:val="22"/>
              </w:rPr>
              <w:t>（公章）</w:t>
            </w:r>
          </w:p>
          <w:p>
            <w:pPr>
              <w:spacing w:line="440" w:lineRule="exact"/>
              <w:ind w:left="2528" w:leftChars="1204" w:right="275" w:firstLine="1691" w:firstLineChars="769"/>
              <w:jc w:val="right"/>
              <w:rPr>
                <w:rFonts w:ascii="宋体" w:hAnsi="宋体"/>
                <w:bCs/>
                <w:sz w:val="22"/>
              </w:rPr>
            </w:pPr>
            <w:r>
              <w:rPr>
                <w:rFonts w:hint="eastAsia" w:ascii="宋体" w:hAnsi="宋体"/>
                <w:bCs/>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8" w:type="dxa"/>
          <w:trHeight w:val="3054" w:hRule="atLeast"/>
        </w:trPr>
        <w:tc>
          <w:tcPr>
            <w:tcW w:w="8696" w:type="dxa"/>
            <w:gridSpan w:val="6"/>
          </w:tcPr>
          <w:p>
            <w:pPr>
              <w:spacing w:line="440" w:lineRule="exact"/>
              <w:ind w:right="57"/>
              <w:rPr>
                <w:rFonts w:ascii="宋体" w:hAnsi="宋体"/>
                <w:bCs/>
                <w:sz w:val="22"/>
              </w:rPr>
            </w:pPr>
            <w:r>
              <w:rPr>
                <w:rFonts w:hint="eastAsia" w:ascii="宋体" w:hAnsi="宋体"/>
                <w:bCs/>
                <w:sz w:val="22"/>
              </w:rPr>
              <w:t>教务处审核意见：</w:t>
            </w:r>
          </w:p>
          <w:p>
            <w:pPr>
              <w:spacing w:line="440" w:lineRule="exact"/>
              <w:ind w:right="57"/>
              <w:rPr>
                <w:rFonts w:ascii="宋体" w:hAnsi="宋体"/>
                <w:bCs/>
                <w:sz w:val="22"/>
              </w:rPr>
            </w:pPr>
          </w:p>
          <w:p>
            <w:pPr>
              <w:spacing w:line="440" w:lineRule="exact"/>
              <w:ind w:right="57"/>
              <w:rPr>
                <w:rFonts w:ascii="宋体" w:hAnsi="宋体"/>
                <w:bCs/>
                <w:sz w:val="22"/>
              </w:rPr>
            </w:pPr>
          </w:p>
          <w:p>
            <w:pPr>
              <w:spacing w:line="440" w:lineRule="exact"/>
              <w:ind w:right="57"/>
              <w:rPr>
                <w:rFonts w:ascii="宋体" w:hAnsi="宋体"/>
                <w:bCs/>
                <w:sz w:val="22"/>
              </w:rPr>
            </w:pPr>
          </w:p>
          <w:p>
            <w:pPr>
              <w:spacing w:line="440" w:lineRule="exact"/>
              <w:ind w:right="57"/>
              <w:rPr>
                <w:rFonts w:ascii="宋体" w:hAnsi="宋体"/>
                <w:bCs/>
                <w:sz w:val="22"/>
              </w:rPr>
            </w:pPr>
          </w:p>
          <w:p>
            <w:pPr>
              <w:spacing w:line="440" w:lineRule="exact"/>
              <w:ind w:right="57"/>
              <w:rPr>
                <w:rFonts w:ascii="宋体" w:hAnsi="宋体"/>
                <w:bCs/>
                <w:sz w:val="22"/>
              </w:rPr>
            </w:pPr>
            <w:r>
              <w:rPr>
                <w:rFonts w:hint="eastAsia" w:ascii="宋体" w:hAnsi="宋体"/>
                <w:bCs/>
                <w:sz w:val="22"/>
              </w:rPr>
              <w:t xml:space="preserve">                                  教务处处长签名：            </w:t>
            </w:r>
            <w:r>
              <w:rPr>
                <w:rFonts w:hint="eastAsia" w:ascii="宋体" w:hAnsi="宋体"/>
                <w:sz w:val="22"/>
              </w:rPr>
              <w:t>（公章）</w:t>
            </w:r>
          </w:p>
          <w:p>
            <w:pPr>
              <w:spacing w:line="440" w:lineRule="exact"/>
              <w:ind w:right="57" w:firstLine="5682" w:firstLineChars="2583"/>
              <w:rPr>
                <w:rFonts w:ascii="宋体" w:hAnsi="宋体"/>
                <w:bCs/>
                <w:sz w:val="22"/>
              </w:rPr>
            </w:pPr>
            <w:r>
              <w:rPr>
                <w:rFonts w:hint="eastAsia" w:ascii="宋体" w:hAnsi="宋体"/>
                <w:bCs/>
                <w:sz w:val="22"/>
              </w:rPr>
              <w:t xml:space="preserve">             年   月   日</w:t>
            </w:r>
          </w:p>
        </w:tc>
      </w:tr>
    </w:tbl>
    <w:p>
      <w:pPr>
        <w:spacing w:line="360" w:lineRule="auto"/>
        <w:rPr>
          <w:rFonts w:asciiTheme="minorEastAsia" w:hAnsiTheme="minorEastAsia"/>
          <w:sz w:val="24"/>
          <w:szCs w:val="24"/>
        </w:rPr>
      </w:pPr>
    </w:p>
    <w:p>
      <w:pPr>
        <w:spacing w:line="560" w:lineRule="atLeast"/>
        <w:jc w:val="center"/>
        <w:rPr>
          <w:rFonts w:asciiTheme="majorEastAsia" w:hAnsiTheme="majorEastAsia" w:eastAsiaTheme="majorEastAsia"/>
          <w:b/>
          <w:color w:val="000000"/>
          <w:sz w:val="32"/>
          <w:szCs w:val="32"/>
        </w:rPr>
      </w:pPr>
      <w:r>
        <w:rPr>
          <w:rFonts w:hint="eastAsia" w:asciiTheme="majorEastAsia" w:hAnsiTheme="majorEastAsia" w:eastAsiaTheme="majorEastAsia"/>
          <w:b/>
          <w:sz w:val="32"/>
          <w:szCs w:val="32"/>
        </w:rPr>
        <w:t>内江</w:t>
      </w:r>
      <w:r>
        <w:rPr>
          <w:rFonts w:hint="eastAsia" w:asciiTheme="majorEastAsia" w:hAnsiTheme="majorEastAsia" w:eastAsiaTheme="majorEastAsia"/>
          <w:b/>
          <w:color w:val="000000"/>
          <w:sz w:val="32"/>
          <w:szCs w:val="32"/>
        </w:rPr>
        <w:t>师范学院</w:t>
      </w:r>
    </w:p>
    <w:p>
      <w:pPr>
        <w:spacing w:line="560" w:lineRule="atLeast"/>
        <w:jc w:val="center"/>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普通全日制本科生标准学制内提前毕业管理办法(修订)</w:t>
      </w:r>
    </w:p>
    <w:p>
      <w:pPr>
        <w:spacing w:line="560" w:lineRule="atLeas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内师教字〔2014〕78号</w:t>
      </w:r>
    </w:p>
    <w:p>
      <w:pPr>
        <w:spacing w:line="560" w:lineRule="atLeast"/>
        <w:ind w:firstLine="420" w:firstLineChars="200"/>
        <w:rPr>
          <w:rFonts w:ascii="方正仿宋简体" w:hAnsi="宋体" w:eastAsia="方正仿宋简体"/>
          <w:color w:val="000000"/>
          <w:szCs w:val="32"/>
        </w:rPr>
      </w:pP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为进一步加强我校本科教学管理，完善学分制下的教学管理制度，根据《</w:t>
      </w:r>
      <w:r>
        <w:rPr>
          <w:rFonts w:hint="eastAsia" w:asciiTheme="minorEastAsia" w:hAnsiTheme="minorEastAsia"/>
          <w:sz w:val="24"/>
          <w:szCs w:val="24"/>
        </w:rPr>
        <w:t>内江</w:t>
      </w:r>
      <w:r>
        <w:rPr>
          <w:rFonts w:hint="eastAsia" w:asciiTheme="minorEastAsia" w:hAnsiTheme="minorEastAsia"/>
          <w:color w:val="000000"/>
          <w:sz w:val="24"/>
          <w:szCs w:val="24"/>
        </w:rPr>
        <w:t>师范学院学生学籍管理实施细则》，制定此管理办法。</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一、基本条件</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学生提前修满修读专业毕业规定学分，同时符合学校规定的学生毕业的有关要求，可申请标准学制内提前毕业。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思想道德表现及综合素质良好，成绩优秀，无重修课程记录。</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 前3个学期至少应修满修读专业毕业总学分的50%及以上，已修全部课程平均学分绩点在3.5及以上。</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在校修读的时间不得少于3年。</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二、申请程序</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 申请提前毕业的学生应在第四学期开校1个月内，填写《</w:t>
      </w:r>
      <w:r>
        <w:rPr>
          <w:rFonts w:hint="eastAsia" w:asciiTheme="minorEastAsia" w:hAnsiTheme="minorEastAsia"/>
          <w:sz w:val="24"/>
          <w:szCs w:val="24"/>
        </w:rPr>
        <w:t>内江</w:t>
      </w:r>
      <w:r>
        <w:rPr>
          <w:rFonts w:hint="eastAsia" w:asciiTheme="minorEastAsia" w:hAnsiTheme="minorEastAsia"/>
          <w:color w:val="000000"/>
          <w:sz w:val="24"/>
          <w:szCs w:val="24"/>
        </w:rPr>
        <w:t>师范学院普通本科生提前毕业申请表》（附件1），提出书面申请。</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 学生所在二级学院审查其学业完成情况并签署意见。</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教务处审核并签署意见。</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 主管教学的校领导审批。</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三、学籍管理</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 凡被批准提前毕业的学生，其学籍列入学生计划毕业年度的毕业生名单中。</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 提前毕业的学生，在申请毕业的学年度内完成指导性教学计划规定课程的学习，修满规定的学分，达到毕业要求者，发给毕业证书；符合学士学位授予条件者发给学位证书。</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获准提前毕业的学生，届时未学完指导性教学计划规定的课程，未修满规定的学分者，允许延长修业年限继续修读。</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四、其他有关规定</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sz w:val="24"/>
          <w:szCs w:val="24"/>
        </w:rPr>
        <w:t xml:space="preserve">1. </w:t>
      </w:r>
      <w:r>
        <w:rPr>
          <w:rFonts w:hint="eastAsia" w:asciiTheme="minorEastAsia" w:hAnsiTheme="minorEastAsia"/>
          <w:sz w:val="24"/>
          <w:szCs w:val="24"/>
        </w:rPr>
        <w:t>提前毕业以一年为期，其待遇与同届毕业生相同。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color w:val="000000"/>
          <w:sz w:val="24"/>
          <w:szCs w:val="24"/>
        </w:rPr>
        <w:t>对于获准提前毕业的学生，其所在二级学院应妥善安排其实习、毕业论文（设计、创作）等实践性教学环节，以保证学生能如期毕业。</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3. </w:t>
      </w:r>
      <w:r>
        <w:rPr>
          <w:rFonts w:hint="eastAsia" w:asciiTheme="minorEastAsia" w:hAnsiTheme="minorEastAsia"/>
          <w:sz w:val="24"/>
          <w:szCs w:val="24"/>
        </w:rPr>
        <w:t>提前毕业的学生应按标准修业年限毕业生总学分缴纳学费。</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 本办法自发文之日起执行，由教务处负责解释。</w:t>
      </w:r>
    </w:p>
    <w:p>
      <w:pPr>
        <w:spacing w:line="360" w:lineRule="auto"/>
        <w:ind w:firstLine="540"/>
        <w:rPr>
          <w:rFonts w:asciiTheme="minorEastAsia" w:hAnsiTheme="minorEastAsia"/>
          <w:color w:val="000000"/>
          <w:sz w:val="24"/>
          <w:szCs w:val="24"/>
        </w:rPr>
      </w:pPr>
    </w:p>
    <w:p>
      <w:pPr>
        <w:snapToGrid w:val="0"/>
        <w:spacing w:line="360" w:lineRule="auto"/>
        <w:ind w:firstLine="480" w:firstLineChars="200"/>
        <w:rPr>
          <w:rFonts w:asciiTheme="minorEastAsia" w:hAnsiTheme="minorEastAsia"/>
          <w:sz w:val="24"/>
          <w:szCs w:val="24"/>
        </w:rPr>
      </w:pPr>
      <w:r>
        <w:rPr>
          <w:rFonts w:hint="eastAsia" w:asciiTheme="minorEastAsia" w:hAnsiTheme="minorEastAsia"/>
          <w:color w:val="000000"/>
          <w:sz w:val="24"/>
          <w:szCs w:val="24"/>
        </w:rPr>
        <w:t>附件：</w:t>
      </w:r>
      <w:r>
        <w:rPr>
          <w:rFonts w:hint="eastAsia" w:asciiTheme="minorEastAsia" w:hAnsiTheme="minorEastAsia"/>
          <w:sz w:val="24"/>
          <w:szCs w:val="24"/>
        </w:rPr>
        <w:t>内江</w:t>
      </w:r>
      <w:r>
        <w:rPr>
          <w:rFonts w:hint="eastAsia" w:asciiTheme="minorEastAsia" w:hAnsiTheme="minorEastAsia"/>
          <w:color w:val="000000"/>
          <w:sz w:val="24"/>
          <w:szCs w:val="24"/>
        </w:rPr>
        <w:t>师范学院</w:t>
      </w:r>
      <w:r>
        <w:rPr>
          <w:rFonts w:hint="eastAsia" w:asciiTheme="minorEastAsia" w:hAnsiTheme="minorEastAsia"/>
          <w:sz w:val="24"/>
          <w:szCs w:val="24"/>
        </w:rPr>
        <w:t>本科生标准学制内提前毕业申请审批表</w:t>
      </w:r>
    </w:p>
    <w:p>
      <w:pPr>
        <w:spacing w:line="360" w:lineRule="auto"/>
        <w:jc w:val="center"/>
        <w:rPr>
          <w:rFonts w:asciiTheme="minorEastAsia" w:hAnsiTheme="minorEastAsia"/>
          <w:b/>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2014年6月27日</w:t>
      </w:r>
    </w:p>
    <w:p>
      <w:pPr>
        <w:widowControl/>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napToGrid w:val="0"/>
        <w:jc w:val="center"/>
        <w:rPr>
          <w:rFonts w:ascii="黑体" w:hAnsi="宋体" w:eastAsia="黑体"/>
          <w:b/>
          <w:w w:val="80"/>
          <w:sz w:val="36"/>
          <w:szCs w:val="36"/>
        </w:rPr>
      </w:pPr>
    </w:p>
    <w:p>
      <w:pPr>
        <w:snapToGrid w:val="0"/>
        <w:jc w:val="center"/>
        <w:rPr>
          <w:rFonts w:ascii="黑体" w:hAnsi="宋体" w:eastAsia="黑体"/>
          <w:b/>
          <w:w w:val="80"/>
          <w:sz w:val="36"/>
          <w:szCs w:val="36"/>
        </w:rPr>
      </w:pPr>
    </w:p>
    <w:p>
      <w:pPr>
        <w:snapToGrid w:val="0"/>
        <w:jc w:val="center"/>
        <w:rPr>
          <w:rFonts w:ascii="黑体" w:hAnsi="宋体" w:eastAsia="黑体"/>
          <w:b/>
          <w:w w:val="80"/>
          <w:sz w:val="36"/>
          <w:szCs w:val="36"/>
        </w:rPr>
      </w:pPr>
    </w:p>
    <w:p>
      <w:pPr>
        <w:snapToGrid w:val="0"/>
        <w:jc w:val="left"/>
        <w:rPr>
          <w:rFonts w:asciiTheme="minorEastAsia" w:hAnsiTheme="minorEastAsia"/>
          <w:b/>
          <w:w w:val="80"/>
          <w:sz w:val="28"/>
          <w:szCs w:val="28"/>
        </w:rPr>
      </w:pPr>
      <w:r>
        <w:rPr>
          <w:rFonts w:asciiTheme="minorEastAsia" w:hAnsiTheme="minorEastAsia"/>
          <w:b/>
          <w:w w:val="80"/>
          <w:sz w:val="28"/>
          <w:szCs w:val="28"/>
        </w:rPr>
        <w:t>附件</w:t>
      </w:r>
    </w:p>
    <w:p>
      <w:pPr>
        <w:snapToGrid w:val="0"/>
        <w:jc w:val="center"/>
        <w:rPr>
          <w:rFonts w:ascii="黑体" w:hAnsi="宋体" w:eastAsia="黑体"/>
          <w:b/>
          <w:w w:val="80"/>
          <w:sz w:val="32"/>
          <w:szCs w:val="32"/>
        </w:rPr>
      </w:pPr>
      <w:r>
        <w:rPr>
          <w:rFonts w:hint="eastAsia" w:ascii="黑体" w:hAnsi="宋体" w:eastAsia="黑体"/>
          <w:b/>
          <w:w w:val="80"/>
          <w:sz w:val="32"/>
          <w:szCs w:val="32"/>
        </w:rPr>
        <w:t>内江</w:t>
      </w:r>
      <w:r>
        <w:rPr>
          <w:rFonts w:hint="eastAsia" w:ascii="黑体" w:hAnsi="宋体" w:eastAsia="黑体"/>
          <w:b/>
          <w:color w:val="000000"/>
          <w:w w:val="80"/>
          <w:sz w:val="32"/>
          <w:szCs w:val="32"/>
        </w:rPr>
        <w:t>师范学院</w:t>
      </w:r>
      <w:r>
        <w:rPr>
          <w:rFonts w:hint="eastAsia" w:ascii="黑体" w:hAnsi="宋体" w:eastAsia="黑体"/>
          <w:b/>
          <w:w w:val="80"/>
          <w:sz w:val="32"/>
          <w:szCs w:val="32"/>
        </w:rPr>
        <w:t>本科生标准学制内提前毕业申请审批表</w:t>
      </w:r>
    </w:p>
    <w:p>
      <w:pPr>
        <w:snapToGrid w:val="0"/>
        <w:jc w:val="center"/>
        <w:rPr>
          <w:rFonts w:ascii="宋体" w:hAnsi="宋体"/>
          <w:b/>
          <w:sz w:val="28"/>
          <w:szCs w:val="28"/>
        </w:rPr>
      </w:pPr>
    </w:p>
    <w:p>
      <w:pPr>
        <w:snapToGrid w:val="0"/>
        <w:rPr>
          <w:rFonts w:ascii="宋体" w:hAnsi="宋体" w:eastAsia="宋体"/>
          <w:szCs w:val="21"/>
          <w:u w:val="single"/>
        </w:rPr>
      </w:pPr>
      <w:r>
        <w:rPr>
          <w:rFonts w:hint="eastAsia" w:ascii="宋体" w:hAnsi="宋体" w:eastAsia="宋体"/>
          <w:szCs w:val="21"/>
          <w:u w:val="single"/>
        </w:rPr>
        <w:t xml:space="preserve">                    </w:t>
      </w:r>
      <w:r>
        <w:rPr>
          <w:rFonts w:hint="eastAsia" w:ascii="宋体" w:hAnsi="宋体" w:eastAsia="宋体"/>
          <w:szCs w:val="21"/>
        </w:rPr>
        <w:t xml:space="preserve">院      </w:t>
      </w:r>
      <w:r>
        <w:rPr>
          <w:rFonts w:hint="eastAsia" w:ascii="宋体" w:hAnsi="宋体" w:eastAsia="宋体"/>
          <w:szCs w:val="21"/>
          <w:u w:val="single"/>
        </w:rPr>
        <w:t xml:space="preserve">                      </w:t>
      </w:r>
      <w:r>
        <w:rPr>
          <w:rFonts w:hint="eastAsia" w:ascii="宋体" w:hAnsi="宋体" w:eastAsia="宋体"/>
          <w:szCs w:val="21"/>
        </w:rPr>
        <w:t xml:space="preserve">专业      </w:t>
      </w:r>
      <w:r>
        <w:rPr>
          <w:rFonts w:hint="eastAsia" w:ascii="宋体" w:hAnsi="宋体" w:eastAsia="宋体"/>
          <w:szCs w:val="21"/>
          <w:u w:val="single"/>
        </w:rPr>
        <w:t xml:space="preserve">                  </w:t>
      </w:r>
      <w:r>
        <w:rPr>
          <w:rFonts w:hint="eastAsia" w:ascii="宋体" w:hAnsi="宋体" w:eastAsia="宋体"/>
          <w:szCs w:val="21"/>
        </w:rPr>
        <w:t>年级</w:t>
      </w:r>
    </w:p>
    <w:p>
      <w:pPr>
        <w:wordWrap w:val="0"/>
        <w:snapToGrid w:val="0"/>
        <w:jc w:val="right"/>
        <w:rPr>
          <w:rFonts w:ascii="宋体" w:hAnsi="宋体" w:eastAsia="宋体"/>
          <w:szCs w:val="21"/>
        </w:rPr>
      </w:pPr>
      <w:r>
        <w:rPr>
          <w:rFonts w:hint="eastAsia" w:ascii="宋体" w:hAnsi="宋体" w:eastAsia="宋体"/>
          <w:szCs w:val="21"/>
        </w:rPr>
        <w:t xml:space="preserve"> </w:t>
      </w:r>
    </w:p>
    <w:tbl>
      <w:tblPr>
        <w:tblStyle w:val="15"/>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6"/>
        <w:gridCol w:w="1783"/>
        <w:gridCol w:w="850"/>
        <w:gridCol w:w="416"/>
        <w:gridCol w:w="9"/>
        <w:gridCol w:w="426"/>
        <w:gridCol w:w="815"/>
        <w:gridCol w:w="1285"/>
        <w:gridCol w:w="26"/>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姓名</w:t>
            </w:r>
          </w:p>
        </w:tc>
        <w:tc>
          <w:tcPr>
            <w:tcW w:w="1783" w:type="dxa"/>
            <w:shd w:val="clear" w:color="auto" w:fill="auto"/>
          </w:tcPr>
          <w:p>
            <w:pPr>
              <w:spacing w:line="360" w:lineRule="auto"/>
              <w:jc w:val="center"/>
              <w:rPr>
                <w:rFonts w:ascii="宋体" w:hAnsi="宋体" w:eastAsia="宋体"/>
                <w:szCs w:val="21"/>
              </w:rPr>
            </w:pPr>
          </w:p>
        </w:tc>
        <w:tc>
          <w:tcPr>
            <w:tcW w:w="850" w:type="dxa"/>
            <w:shd w:val="clear" w:color="auto" w:fill="auto"/>
          </w:tcPr>
          <w:p>
            <w:pPr>
              <w:spacing w:line="360" w:lineRule="auto"/>
              <w:jc w:val="center"/>
              <w:rPr>
                <w:rFonts w:ascii="宋体" w:hAnsi="宋体" w:eastAsia="宋体"/>
                <w:szCs w:val="21"/>
              </w:rPr>
            </w:pPr>
            <w:r>
              <w:rPr>
                <w:rFonts w:hint="eastAsia" w:ascii="宋体" w:hAnsi="宋体" w:eastAsia="宋体"/>
                <w:szCs w:val="21"/>
              </w:rPr>
              <w:t>性别</w:t>
            </w:r>
          </w:p>
        </w:tc>
        <w:tc>
          <w:tcPr>
            <w:tcW w:w="851" w:type="dxa"/>
            <w:gridSpan w:val="3"/>
            <w:shd w:val="clear" w:color="auto" w:fill="auto"/>
          </w:tcPr>
          <w:p>
            <w:pPr>
              <w:spacing w:line="360" w:lineRule="auto"/>
              <w:jc w:val="center"/>
              <w:rPr>
                <w:rFonts w:ascii="宋体" w:hAnsi="宋体" w:eastAsia="宋体"/>
                <w:szCs w:val="21"/>
              </w:rPr>
            </w:pPr>
          </w:p>
        </w:tc>
        <w:tc>
          <w:tcPr>
            <w:tcW w:w="2126" w:type="dxa"/>
            <w:gridSpan w:val="3"/>
            <w:shd w:val="clear" w:color="auto" w:fill="auto"/>
          </w:tcPr>
          <w:p>
            <w:pPr>
              <w:spacing w:line="360" w:lineRule="auto"/>
              <w:jc w:val="center"/>
              <w:rPr>
                <w:rFonts w:ascii="宋体" w:hAnsi="宋体" w:eastAsia="宋体"/>
                <w:szCs w:val="21"/>
              </w:rPr>
            </w:pPr>
            <w:r>
              <w:rPr>
                <w:rFonts w:hint="eastAsia" w:ascii="宋体" w:hAnsi="宋体" w:eastAsia="宋体"/>
                <w:szCs w:val="21"/>
              </w:rPr>
              <w:t>学号</w:t>
            </w:r>
          </w:p>
        </w:tc>
        <w:tc>
          <w:tcPr>
            <w:tcW w:w="2525" w:type="dxa"/>
            <w:shd w:val="clear" w:color="auto" w:fill="auto"/>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2609" w:type="dxa"/>
            <w:gridSpan w:val="2"/>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申请毕业时间</w:t>
            </w:r>
          </w:p>
        </w:tc>
        <w:tc>
          <w:tcPr>
            <w:tcW w:w="6352" w:type="dxa"/>
            <w:gridSpan w:val="8"/>
            <w:shd w:val="clear" w:color="auto" w:fill="auto"/>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vMerge w:val="restar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学生学业完成情况</w:t>
            </w:r>
          </w:p>
        </w:tc>
        <w:tc>
          <w:tcPr>
            <w:tcW w:w="1783" w:type="dxa"/>
            <w:vMerge w:val="restar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已修总学分</w:t>
            </w:r>
          </w:p>
        </w:tc>
        <w:tc>
          <w:tcPr>
            <w:tcW w:w="2516" w:type="dxa"/>
            <w:gridSpan w:val="5"/>
            <w:shd w:val="clear" w:color="auto" w:fill="auto"/>
          </w:tcPr>
          <w:p>
            <w:pPr>
              <w:spacing w:line="360" w:lineRule="auto"/>
              <w:jc w:val="center"/>
              <w:rPr>
                <w:rFonts w:ascii="宋体" w:hAnsi="宋体" w:eastAsia="宋体"/>
                <w:szCs w:val="21"/>
              </w:rPr>
            </w:pPr>
            <w:r>
              <w:rPr>
                <w:rFonts w:hint="eastAsia" w:ascii="宋体" w:hAnsi="宋体" w:eastAsia="宋体"/>
                <w:szCs w:val="21"/>
              </w:rPr>
              <w:t>必修课学分</w:t>
            </w:r>
          </w:p>
        </w:tc>
        <w:tc>
          <w:tcPr>
            <w:tcW w:w="3836" w:type="dxa"/>
            <w:gridSpan w:val="3"/>
            <w:shd w:val="clear" w:color="auto" w:fill="auto"/>
          </w:tcPr>
          <w:p>
            <w:pPr>
              <w:spacing w:line="360" w:lineRule="auto"/>
              <w:jc w:val="center"/>
              <w:rPr>
                <w:rFonts w:ascii="宋体" w:hAnsi="宋体" w:eastAsia="宋体"/>
                <w:szCs w:val="21"/>
              </w:rPr>
            </w:pPr>
            <w:r>
              <w:rPr>
                <w:rFonts w:hint="eastAsia" w:ascii="宋体" w:hAnsi="宋体" w:eastAsia="宋体"/>
                <w:szCs w:val="21"/>
              </w:rPr>
              <w:t>选修课学分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vMerge w:val="continue"/>
            <w:shd w:val="clear" w:color="auto" w:fill="auto"/>
            <w:vAlign w:val="center"/>
          </w:tcPr>
          <w:p>
            <w:pPr>
              <w:spacing w:line="360" w:lineRule="auto"/>
              <w:jc w:val="center"/>
              <w:rPr>
                <w:rFonts w:ascii="宋体" w:hAnsi="宋体" w:eastAsia="宋体"/>
                <w:szCs w:val="21"/>
              </w:rPr>
            </w:pPr>
          </w:p>
        </w:tc>
        <w:tc>
          <w:tcPr>
            <w:tcW w:w="1783" w:type="dxa"/>
            <w:vMerge w:val="continue"/>
            <w:shd w:val="clear" w:color="auto" w:fill="auto"/>
          </w:tcPr>
          <w:p>
            <w:pPr>
              <w:spacing w:line="360" w:lineRule="auto"/>
              <w:jc w:val="center"/>
              <w:rPr>
                <w:rFonts w:ascii="宋体" w:hAnsi="宋体" w:eastAsia="宋体"/>
                <w:szCs w:val="21"/>
              </w:rPr>
            </w:pPr>
          </w:p>
        </w:tc>
        <w:tc>
          <w:tcPr>
            <w:tcW w:w="2516" w:type="dxa"/>
            <w:gridSpan w:val="5"/>
            <w:shd w:val="clear" w:color="auto" w:fill="auto"/>
          </w:tcPr>
          <w:p>
            <w:pPr>
              <w:spacing w:line="360" w:lineRule="auto"/>
              <w:jc w:val="center"/>
              <w:rPr>
                <w:rFonts w:ascii="宋体" w:hAnsi="宋体" w:eastAsia="宋体"/>
                <w:szCs w:val="21"/>
              </w:rPr>
            </w:pPr>
          </w:p>
        </w:tc>
        <w:tc>
          <w:tcPr>
            <w:tcW w:w="3836" w:type="dxa"/>
            <w:gridSpan w:val="3"/>
            <w:shd w:val="clear" w:color="auto" w:fill="auto"/>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vMerge w:val="continue"/>
            <w:shd w:val="clear" w:color="auto" w:fill="auto"/>
            <w:vAlign w:val="center"/>
          </w:tcPr>
          <w:p>
            <w:pPr>
              <w:spacing w:line="360" w:lineRule="auto"/>
              <w:jc w:val="center"/>
              <w:rPr>
                <w:rFonts w:ascii="宋体" w:hAnsi="宋体" w:eastAsia="宋体"/>
                <w:szCs w:val="21"/>
              </w:rPr>
            </w:pPr>
          </w:p>
        </w:tc>
        <w:tc>
          <w:tcPr>
            <w:tcW w:w="1783" w:type="dxa"/>
            <w:vMerge w:val="restar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实践教学环节</w:t>
            </w:r>
          </w:p>
          <w:p>
            <w:pPr>
              <w:spacing w:line="360" w:lineRule="auto"/>
              <w:jc w:val="center"/>
              <w:rPr>
                <w:rFonts w:ascii="宋体" w:hAnsi="宋体" w:eastAsia="宋体"/>
                <w:szCs w:val="21"/>
              </w:rPr>
            </w:pPr>
            <w:r>
              <w:rPr>
                <w:rFonts w:hint="eastAsia" w:ascii="宋体" w:hAnsi="宋体" w:eastAsia="宋体"/>
                <w:szCs w:val="21"/>
              </w:rPr>
              <w:t>完成情况</w:t>
            </w:r>
          </w:p>
        </w:tc>
        <w:tc>
          <w:tcPr>
            <w:tcW w:w="1266" w:type="dxa"/>
            <w:gridSpan w:val="2"/>
            <w:shd w:val="clear" w:color="auto" w:fill="auto"/>
          </w:tcPr>
          <w:p>
            <w:pPr>
              <w:spacing w:line="360" w:lineRule="auto"/>
              <w:jc w:val="center"/>
              <w:rPr>
                <w:rFonts w:ascii="宋体" w:hAnsi="宋体" w:eastAsia="宋体"/>
                <w:szCs w:val="21"/>
              </w:rPr>
            </w:pPr>
            <w:r>
              <w:rPr>
                <w:rFonts w:hint="eastAsia" w:ascii="宋体" w:hAnsi="宋体" w:eastAsia="宋体"/>
                <w:szCs w:val="21"/>
              </w:rPr>
              <w:t>专业实习</w:t>
            </w:r>
          </w:p>
        </w:tc>
        <w:tc>
          <w:tcPr>
            <w:tcW w:w="1250" w:type="dxa"/>
            <w:gridSpan w:val="3"/>
            <w:shd w:val="clear" w:color="auto" w:fill="auto"/>
          </w:tcPr>
          <w:p>
            <w:pPr>
              <w:spacing w:line="360" w:lineRule="auto"/>
              <w:jc w:val="center"/>
              <w:rPr>
                <w:rFonts w:ascii="宋体" w:hAnsi="宋体" w:eastAsia="宋体"/>
                <w:szCs w:val="21"/>
              </w:rPr>
            </w:pPr>
            <w:r>
              <w:rPr>
                <w:rFonts w:hint="eastAsia" w:ascii="宋体" w:hAnsi="宋体" w:eastAsia="宋体"/>
                <w:szCs w:val="21"/>
              </w:rPr>
              <w:t>学年论文</w:t>
            </w:r>
          </w:p>
        </w:tc>
        <w:tc>
          <w:tcPr>
            <w:tcW w:w="1285" w:type="dxa"/>
            <w:shd w:val="clear" w:color="auto" w:fill="auto"/>
          </w:tcPr>
          <w:p>
            <w:pPr>
              <w:spacing w:line="360" w:lineRule="auto"/>
              <w:jc w:val="center"/>
              <w:rPr>
                <w:rFonts w:ascii="宋体" w:hAnsi="宋体" w:eastAsia="宋体"/>
                <w:szCs w:val="21"/>
              </w:rPr>
            </w:pPr>
            <w:r>
              <w:rPr>
                <w:rFonts w:hint="eastAsia" w:ascii="宋体" w:hAnsi="宋体" w:eastAsia="宋体"/>
                <w:szCs w:val="21"/>
              </w:rPr>
              <w:t>毕业论文</w:t>
            </w:r>
          </w:p>
        </w:tc>
        <w:tc>
          <w:tcPr>
            <w:tcW w:w="2551" w:type="dxa"/>
            <w:gridSpan w:val="2"/>
            <w:shd w:val="clear" w:color="auto" w:fill="auto"/>
          </w:tcPr>
          <w:p>
            <w:pPr>
              <w:spacing w:line="360" w:lineRule="auto"/>
              <w:jc w:val="center"/>
              <w:rPr>
                <w:rFonts w:ascii="宋体" w:hAnsi="宋体" w:eastAsia="宋体"/>
                <w:szCs w:val="21"/>
              </w:rPr>
            </w:pP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vMerge w:val="continue"/>
            <w:shd w:val="clear" w:color="auto" w:fill="auto"/>
            <w:vAlign w:val="center"/>
          </w:tcPr>
          <w:p>
            <w:pPr>
              <w:spacing w:line="360" w:lineRule="auto"/>
              <w:jc w:val="center"/>
              <w:rPr>
                <w:rFonts w:ascii="宋体" w:hAnsi="宋体" w:eastAsia="宋体"/>
                <w:szCs w:val="21"/>
              </w:rPr>
            </w:pPr>
          </w:p>
        </w:tc>
        <w:tc>
          <w:tcPr>
            <w:tcW w:w="1783" w:type="dxa"/>
            <w:vMerge w:val="continue"/>
            <w:shd w:val="clear" w:color="auto" w:fill="auto"/>
          </w:tcPr>
          <w:p>
            <w:pPr>
              <w:spacing w:line="360" w:lineRule="auto"/>
              <w:jc w:val="center"/>
              <w:rPr>
                <w:rFonts w:ascii="宋体" w:hAnsi="宋体" w:eastAsia="宋体"/>
                <w:szCs w:val="21"/>
              </w:rPr>
            </w:pPr>
          </w:p>
        </w:tc>
        <w:tc>
          <w:tcPr>
            <w:tcW w:w="1275" w:type="dxa"/>
            <w:gridSpan w:val="3"/>
            <w:shd w:val="clear" w:color="auto" w:fill="auto"/>
          </w:tcPr>
          <w:p>
            <w:pPr>
              <w:spacing w:line="360" w:lineRule="auto"/>
              <w:jc w:val="center"/>
              <w:rPr>
                <w:rFonts w:ascii="宋体" w:hAnsi="宋体" w:eastAsia="宋体"/>
                <w:szCs w:val="21"/>
              </w:rPr>
            </w:pPr>
          </w:p>
        </w:tc>
        <w:tc>
          <w:tcPr>
            <w:tcW w:w="1241" w:type="dxa"/>
            <w:gridSpan w:val="2"/>
            <w:shd w:val="clear" w:color="auto" w:fill="auto"/>
          </w:tcPr>
          <w:p>
            <w:pPr>
              <w:spacing w:line="360" w:lineRule="auto"/>
              <w:jc w:val="center"/>
              <w:rPr>
                <w:rFonts w:ascii="宋体" w:hAnsi="宋体" w:eastAsia="宋体"/>
                <w:szCs w:val="21"/>
              </w:rPr>
            </w:pPr>
          </w:p>
        </w:tc>
        <w:tc>
          <w:tcPr>
            <w:tcW w:w="1285" w:type="dxa"/>
            <w:shd w:val="clear" w:color="auto" w:fill="auto"/>
          </w:tcPr>
          <w:p>
            <w:pPr>
              <w:spacing w:line="360" w:lineRule="auto"/>
              <w:jc w:val="center"/>
              <w:rPr>
                <w:rFonts w:ascii="宋体" w:hAnsi="宋体" w:eastAsia="宋体"/>
                <w:szCs w:val="21"/>
              </w:rPr>
            </w:pPr>
          </w:p>
        </w:tc>
        <w:tc>
          <w:tcPr>
            <w:tcW w:w="2551" w:type="dxa"/>
            <w:gridSpan w:val="2"/>
            <w:shd w:val="clear" w:color="auto" w:fill="auto"/>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6" w:hRule="atLeast"/>
        </w:trPr>
        <w:tc>
          <w:tcPr>
            <w:tcW w:w="826" w:type="dxa"/>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申请提前原因</w:t>
            </w:r>
          </w:p>
        </w:tc>
        <w:tc>
          <w:tcPr>
            <w:tcW w:w="8135" w:type="dxa"/>
            <w:gridSpan w:val="9"/>
            <w:shd w:val="clear" w:color="auto" w:fill="auto"/>
          </w:tcPr>
          <w:p>
            <w:pPr>
              <w:spacing w:line="360" w:lineRule="auto"/>
              <w:ind w:firstLine="3780" w:firstLineChars="1800"/>
              <w:rPr>
                <w:rFonts w:ascii="宋体" w:hAnsi="宋体" w:eastAsia="宋体"/>
                <w:szCs w:val="21"/>
              </w:rPr>
            </w:pPr>
          </w:p>
          <w:p>
            <w:pPr>
              <w:spacing w:line="360" w:lineRule="auto"/>
              <w:ind w:firstLine="3780" w:firstLineChars="1800"/>
              <w:rPr>
                <w:rFonts w:ascii="宋体" w:hAnsi="宋体" w:eastAsia="宋体"/>
                <w:szCs w:val="21"/>
              </w:rPr>
            </w:pPr>
          </w:p>
          <w:p>
            <w:pPr>
              <w:spacing w:line="360" w:lineRule="auto"/>
              <w:rPr>
                <w:rFonts w:ascii="宋体" w:hAnsi="宋体" w:eastAsia="宋体"/>
                <w:szCs w:val="21"/>
              </w:rPr>
            </w:pPr>
          </w:p>
          <w:p>
            <w:pPr>
              <w:spacing w:line="360" w:lineRule="auto"/>
              <w:ind w:firstLine="3754" w:firstLineChars="1788"/>
              <w:rPr>
                <w:rFonts w:ascii="宋体" w:hAnsi="宋体" w:eastAsia="宋体"/>
                <w:szCs w:val="21"/>
              </w:rPr>
            </w:pPr>
            <w:r>
              <w:rPr>
                <w:rFonts w:hint="eastAsia" w:ascii="宋体" w:hAnsi="宋体" w:eastAsia="宋体"/>
                <w:szCs w:val="21"/>
              </w:rPr>
              <w:t xml:space="preserve">申请人签字： </w:t>
            </w:r>
          </w:p>
          <w:p>
            <w:pPr>
              <w:spacing w:line="360" w:lineRule="auto"/>
              <w:ind w:firstLine="6264" w:firstLineChars="2983"/>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60" w:hRule="atLeast"/>
        </w:trPr>
        <w:tc>
          <w:tcPr>
            <w:tcW w:w="826" w:type="dxa"/>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学生所在二级学院审核意见</w:t>
            </w:r>
          </w:p>
        </w:tc>
        <w:tc>
          <w:tcPr>
            <w:tcW w:w="8135" w:type="dxa"/>
            <w:gridSpan w:val="9"/>
            <w:shd w:val="clear" w:color="auto" w:fill="auto"/>
          </w:tcPr>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735" w:firstLineChars="350"/>
              <w:rPr>
                <w:rFonts w:ascii="宋体" w:hAnsi="宋体" w:eastAsia="宋体"/>
                <w:szCs w:val="21"/>
              </w:rPr>
            </w:pPr>
            <w:r>
              <w:rPr>
                <w:rFonts w:hint="eastAsia" w:ascii="宋体" w:hAnsi="宋体" w:eastAsia="宋体"/>
                <w:szCs w:val="21"/>
              </w:rPr>
              <w:t xml:space="preserve">                   </w:t>
            </w:r>
          </w:p>
          <w:p>
            <w:pPr>
              <w:spacing w:line="360" w:lineRule="auto"/>
              <w:ind w:firstLine="3360" w:firstLineChars="1600"/>
              <w:rPr>
                <w:rFonts w:ascii="宋体" w:hAnsi="宋体" w:eastAsia="宋体"/>
                <w:szCs w:val="21"/>
              </w:rPr>
            </w:pPr>
            <w:r>
              <w:rPr>
                <w:rFonts w:hint="eastAsia" w:ascii="宋体" w:hAnsi="宋体" w:eastAsia="宋体"/>
                <w:szCs w:val="21"/>
              </w:rPr>
              <w:t xml:space="preserve">    负责人签字：</w:t>
            </w:r>
          </w:p>
          <w:p>
            <w:pPr>
              <w:spacing w:line="360" w:lineRule="auto"/>
              <w:ind w:firstLine="4378" w:firstLineChars="2085"/>
              <w:rPr>
                <w:rFonts w:ascii="宋体" w:hAnsi="宋体" w:eastAsia="宋体"/>
                <w:szCs w:val="21"/>
              </w:rPr>
            </w:pPr>
            <w:r>
              <w:rPr>
                <w:rFonts w:hint="eastAsia" w:ascii="宋体" w:hAnsi="宋体" w:eastAsia="宋体"/>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2" w:hRule="atLeast"/>
        </w:trPr>
        <w:tc>
          <w:tcPr>
            <w:tcW w:w="826" w:type="dxa"/>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教务处意见</w:t>
            </w:r>
          </w:p>
        </w:tc>
        <w:tc>
          <w:tcPr>
            <w:tcW w:w="8135" w:type="dxa"/>
            <w:gridSpan w:val="9"/>
            <w:shd w:val="clear" w:color="auto" w:fill="auto"/>
          </w:tcPr>
          <w:p>
            <w:pPr>
              <w:spacing w:line="360" w:lineRule="auto"/>
              <w:ind w:firstLine="3570" w:firstLineChars="1700"/>
              <w:rPr>
                <w:rFonts w:ascii="宋体" w:hAnsi="宋体" w:eastAsia="宋体"/>
                <w:szCs w:val="21"/>
              </w:rPr>
            </w:pPr>
          </w:p>
          <w:p>
            <w:pPr>
              <w:spacing w:line="360" w:lineRule="auto"/>
              <w:ind w:firstLine="3570" w:firstLineChars="1700"/>
              <w:rPr>
                <w:rFonts w:ascii="宋体" w:hAnsi="宋体" w:eastAsia="宋体"/>
                <w:szCs w:val="21"/>
              </w:rPr>
            </w:pPr>
          </w:p>
          <w:p>
            <w:pPr>
              <w:spacing w:line="360" w:lineRule="auto"/>
              <w:ind w:firstLine="3773" w:firstLineChars="1797"/>
              <w:rPr>
                <w:rFonts w:ascii="宋体" w:hAnsi="宋体" w:eastAsia="宋体"/>
                <w:szCs w:val="21"/>
              </w:rPr>
            </w:pPr>
            <w:r>
              <w:rPr>
                <w:rFonts w:hint="eastAsia" w:ascii="宋体" w:hAnsi="宋体" w:eastAsia="宋体"/>
                <w:szCs w:val="21"/>
              </w:rPr>
              <w:t>负责人签字：</w:t>
            </w:r>
          </w:p>
          <w:p>
            <w:pPr>
              <w:spacing w:line="360" w:lineRule="auto"/>
              <w:ind w:firstLine="4370" w:firstLineChars="2081"/>
              <w:rPr>
                <w:rFonts w:ascii="宋体" w:hAnsi="宋体" w:eastAsia="宋体"/>
                <w:szCs w:val="21"/>
              </w:rPr>
            </w:pPr>
            <w:r>
              <w:rPr>
                <w:rFonts w:hint="eastAsia" w:ascii="宋体" w:hAnsi="宋体" w:eastAsia="宋体"/>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65" w:hRule="atLeast"/>
        </w:trPr>
        <w:tc>
          <w:tcPr>
            <w:tcW w:w="826" w:type="dxa"/>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学校</w:t>
            </w:r>
          </w:p>
          <w:p>
            <w:pPr>
              <w:spacing w:line="360" w:lineRule="auto"/>
              <w:jc w:val="center"/>
              <w:rPr>
                <w:rFonts w:ascii="宋体" w:hAnsi="宋体" w:eastAsia="宋体"/>
                <w:szCs w:val="21"/>
              </w:rPr>
            </w:pPr>
            <w:r>
              <w:rPr>
                <w:rFonts w:hint="eastAsia" w:ascii="宋体" w:hAnsi="宋体" w:eastAsia="宋体"/>
                <w:szCs w:val="21"/>
              </w:rPr>
              <w:t>意见</w:t>
            </w:r>
          </w:p>
        </w:tc>
        <w:tc>
          <w:tcPr>
            <w:tcW w:w="8135" w:type="dxa"/>
            <w:gridSpan w:val="9"/>
            <w:shd w:val="clear" w:color="auto" w:fill="auto"/>
          </w:tcPr>
          <w:p>
            <w:pPr>
              <w:spacing w:line="360" w:lineRule="auto"/>
              <w:ind w:firstLine="3570" w:firstLineChars="1700"/>
              <w:rPr>
                <w:rFonts w:ascii="宋体" w:hAnsi="宋体" w:eastAsia="宋体"/>
                <w:szCs w:val="21"/>
              </w:rPr>
            </w:pPr>
          </w:p>
          <w:p>
            <w:pPr>
              <w:spacing w:line="360" w:lineRule="auto"/>
              <w:rPr>
                <w:rFonts w:ascii="宋体" w:hAnsi="宋体" w:eastAsia="宋体"/>
                <w:szCs w:val="21"/>
              </w:rPr>
            </w:pPr>
          </w:p>
          <w:p>
            <w:pPr>
              <w:spacing w:line="360" w:lineRule="auto"/>
              <w:ind w:firstLine="3773" w:firstLineChars="1797"/>
              <w:rPr>
                <w:rFonts w:ascii="宋体" w:hAnsi="宋体" w:eastAsia="宋体"/>
                <w:szCs w:val="21"/>
              </w:rPr>
            </w:pPr>
            <w:r>
              <w:rPr>
                <w:rFonts w:hint="eastAsia" w:ascii="宋体" w:hAnsi="宋体" w:eastAsia="宋体"/>
                <w:szCs w:val="21"/>
              </w:rPr>
              <w:t>分管教学校长签字：</w:t>
            </w:r>
          </w:p>
          <w:p>
            <w:pPr>
              <w:spacing w:line="360" w:lineRule="auto"/>
              <w:ind w:firstLine="4410" w:firstLineChars="2100"/>
              <w:rPr>
                <w:rFonts w:ascii="宋体" w:hAnsi="宋体" w:eastAsia="宋体"/>
                <w:szCs w:val="21"/>
              </w:rPr>
            </w:pPr>
            <w:r>
              <w:rPr>
                <w:rFonts w:hint="eastAsia" w:ascii="宋体" w:hAnsi="宋体" w:eastAsia="宋体"/>
                <w:szCs w:val="21"/>
              </w:rPr>
              <w:t xml:space="preserve">                 年    月    日</w:t>
            </w:r>
          </w:p>
        </w:tc>
      </w:tr>
    </w:tbl>
    <w:p>
      <w:pPr>
        <w:spacing w:line="360" w:lineRule="auto"/>
        <w:rPr>
          <w:rFonts w:asciiTheme="minorEastAsia" w:hAnsiTheme="minorEastAsia"/>
          <w:sz w:val="24"/>
          <w:szCs w:val="24"/>
        </w:rPr>
      </w:pP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内江师范学院国家学生体质健康标准实施办法</w:t>
      </w:r>
    </w:p>
    <w:p>
      <w:pPr>
        <w:widowControl/>
        <w:spacing w:line="560" w:lineRule="exact"/>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内师院发〔2017〕</w:t>
      </w:r>
      <w:r>
        <w:rPr>
          <w:rFonts w:cs="宋体" w:asciiTheme="majorEastAsia" w:hAnsiTheme="majorEastAsia" w:eastAsiaTheme="majorEastAsia"/>
          <w:b/>
          <w:kern w:val="0"/>
          <w:sz w:val="28"/>
          <w:szCs w:val="28"/>
        </w:rPr>
        <w:t>159号</w:t>
      </w:r>
    </w:p>
    <w:p>
      <w:pPr>
        <w:spacing w:line="560" w:lineRule="exact"/>
        <w:ind w:firstLine="640" w:firstLineChars="200"/>
        <w:rPr>
          <w:rFonts w:ascii="方正仿宋简体" w:eastAsia="方正仿宋简体"/>
          <w:sz w:val="32"/>
          <w:szCs w:val="32"/>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为贯彻落实教育部印发的《国家学生体质健康标准（2014年修订》（教体艺〔2014〕5号）精神，建立健全国家学生体质健康评价机制，激励学生积极参加身体锻炼，提高学生体质健康水平，特制定本实施办法。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国家学生体质健康标准》(以下简称《标准》)是国家学校教育工作的基础性指导文件和教育质量基本标准，是评价学生综合素质、评估学校工作和衡量教育发展的重要依据，是《国家体育锻炼标准》在学校的具体实施。</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 《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《标准》实施对象：普通全日制学生。</w:t>
      </w:r>
    </w:p>
    <w:p>
      <w:pPr>
        <w:tabs>
          <w:tab w:val="left" w:pos="1134"/>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《标准》的实施工作在学校分管校长领导下，由</w:t>
      </w:r>
      <w:r>
        <w:fldChar w:fldCharType="begin"/>
      </w:r>
      <w:r>
        <w:instrText xml:space="preserve"> HYPERLINK "http://baike.baidu.com/view/185609.htm" \t "_blank" </w:instrText>
      </w:r>
      <w:r>
        <w:fldChar w:fldCharType="separate"/>
      </w:r>
      <w:r>
        <w:rPr>
          <w:rFonts w:hint="eastAsia" w:asciiTheme="minorEastAsia" w:hAnsiTheme="minorEastAsia"/>
          <w:sz w:val="24"/>
          <w:szCs w:val="24"/>
        </w:rPr>
        <w:t>体育</w:t>
      </w:r>
      <w:r>
        <w:rPr>
          <w:rFonts w:hint="eastAsia" w:asciiTheme="minorEastAsia" w:hAnsiTheme="minorEastAsia"/>
          <w:sz w:val="24"/>
          <w:szCs w:val="24"/>
        </w:rPr>
        <w:fldChar w:fldCharType="end"/>
      </w:r>
      <w:r>
        <w:rPr>
          <w:rFonts w:hint="eastAsia" w:asciiTheme="minorEastAsia" w:hAnsiTheme="minorEastAsia"/>
          <w:sz w:val="24"/>
          <w:szCs w:val="24"/>
        </w:rPr>
        <w:t>学院、教务处、学生工作处、二级学院、后勤处协同配合、共同完成。其中，体育学院具体负责《标准》的项目测试、补测、上报工作，教务处负责测试成绩的管理，各二级学院负责组织本院学生按时参加测试，后勤处负责测试期间安排医护人员。</w:t>
      </w:r>
    </w:p>
    <w:p>
      <w:pPr>
        <w:tabs>
          <w:tab w:val="left" w:pos="1276"/>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《标准》的测试时间原则上安排在每年的4-6月进行，新生和补测时间安排在9-10月。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《标准》的学年总分构成及评定：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学年总分由标准分与附加分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根据学生学年总分评定等级：90分及以上为优秀，80.0～89.9分为良好，60.0～79.9分为及格，59.9分及以下为不及格。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每个学生每学年评定一次，记入《〈国家学生体质健康标准〉登记卡》，同时，测试成绩（含补测）计入学生成绩档案。学生毕业时的成绩和等级，按毕业当年学年总分的50%与其他学年总分平均得分的50%之和进行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 学生的《标准》测试成绩按评定等级记入《国家学生体质健康标准登记卡》，是学生评优、评奖、毕业的重要依据。学生测试成绩评定达到良好及以上者，方可参加评优与评奖。</w:t>
      </w:r>
    </w:p>
    <w:p>
      <w:pPr>
        <w:spacing w:line="360" w:lineRule="auto"/>
        <w:ind w:firstLine="630"/>
        <w:rPr>
          <w:rFonts w:asciiTheme="minorEastAsia" w:hAnsiTheme="minorEastAsia"/>
          <w:sz w:val="24"/>
          <w:szCs w:val="24"/>
        </w:rPr>
      </w:pPr>
      <w:r>
        <w:rPr>
          <w:rFonts w:hint="eastAsia" w:asciiTheme="minorEastAsia" w:hAnsiTheme="minorEastAsia"/>
          <w:sz w:val="24"/>
          <w:szCs w:val="24"/>
        </w:rPr>
        <w:t>8. 测试成绩评定不及格者，在本学年度准予补测一次，补测仍不及格，则学年成绩评定为不及格。</w:t>
      </w:r>
    </w:p>
    <w:p>
      <w:pPr>
        <w:spacing w:line="360" w:lineRule="auto"/>
        <w:ind w:firstLine="630"/>
        <w:rPr>
          <w:rFonts w:asciiTheme="minorEastAsia" w:hAnsiTheme="minorEastAsia"/>
          <w:sz w:val="24"/>
          <w:szCs w:val="24"/>
        </w:rPr>
      </w:pPr>
      <w:r>
        <w:rPr>
          <w:rFonts w:hint="eastAsia" w:asciiTheme="minorEastAsia" w:hAnsiTheme="minorEastAsia"/>
          <w:sz w:val="24"/>
          <w:szCs w:val="24"/>
        </w:rPr>
        <w:t>9. 自2017级起，学生毕业时，《标准》测试的成绩达不到50分者，按结业或肄业处理。学生在规定的学习年限内，可参加学校组织的补测，达到毕业要求，可颁发毕业证书。</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10. 学生因病或残疾可向学校提交暂缓或免予执行《标准》的申请，经医疗单位证明，体育学院核准，可暂缓或免予执行《标准》，并填写《免予执行&lt;国家学生体质健康标准&gt;申请表》，存入学生档案。确实丧失运动能力、被免予执行《标准》的残疾学生，仍可参加评优与评奖，毕业时《标准》成绩需注明免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 本办法自颁布之日起实施。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 本办法由教务处、体育学院负责解释。</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right"/>
      </w:pPr>
      <w:r>
        <w:rPr>
          <w:rFonts w:hint="eastAsia" w:asciiTheme="minorEastAsia" w:hAnsiTheme="minorEastAsia"/>
          <w:sz w:val="24"/>
          <w:szCs w:val="24"/>
        </w:rPr>
        <w:t xml:space="preserve">2017年12月20日  </w:t>
      </w:r>
      <w:r>
        <w:rPr>
          <w:rFonts w:hint="eastAsia" w:ascii="方正仿宋简体" w:eastAsia="方正仿宋简体"/>
          <w:sz w:val="32"/>
          <w:szCs w:val="32"/>
        </w:rPr>
        <w:t xml:space="preserve">  </w:t>
      </w: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cs="Times New Roman" w:asciiTheme="majorEastAsia" w:hAnsiTheme="majorEastAsia" w:eastAsiaTheme="majorEastAsia"/>
          <w:b/>
          <w:bCs/>
          <w:w w:val="90"/>
          <w:sz w:val="32"/>
          <w:szCs w:val="32"/>
        </w:rPr>
      </w:pPr>
      <w:r>
        <w:rPr>
          <w:rFonts w:hint="eastAsia" w:cs="Times New Roman" w:asciiTheme="majorEastAsia" w:hAnsiTheme="majorEastAsia" w:eastAsiaTheme="majorEastAsia"/>
          <w:b/>
          <w:bCs/>
          <w:w w:val="90"/>
          <w:sz w:val="32"/>
          <w:szCs w:val="32"/>
        </w:rPr>
        <w:t>内江师范学院教室使用管理办法(修订)</w:t>
      </w:r>
    </w:p>
    <w:p>
      <w:pPr>
        <w:widowControl/>
        <w:spacing w:after="156" w:afterLines="50" w:line="560" w:lineRule="exact"/>
        <w:jc w:val="center"/>
        <w:rPr>
          <w:rFonts w:cs="宋体" w:asciiTheme="minorEastAsia" w:hAnsiTheme="minorEastAsia"/>
          <w:b/>
          <w:kern w:val="0"/>
          <w:sz w:val="28"/>
          <w:szCs w:val="28"/>
        </w:rPr>
      </w:pPr>
      <w:r>
        <w:rPr>
          <w:rFonts w:hint="eastAsia" w:cs="宋体" w:asciiTheme="minorEastAsia" w:hAnsiTheme="minorEastAsia"/>
          <w:b/>
          <w:kern w:val="0"/>
          <w:sz w:val="28"/>
          <w:szCs w:val="28"/>
        </w:rPr>
        <w:t>内师教字〔</w:t>
      </w:r>
      <w:r>
        <w:rPr>
          <w:rFonts w:cs="宋体" w:asciiTheme="minorEastAsia" w:hAnsiTheme="minorEastAsia"/>
          <w:b/>
          <w:kern w:val="0"/>
          <w:sz w:val="28"/>
          <w:szCs w:val="28"/>
        </w:rPr>
        <w:t>2014〕134号</w:t>
      </w:r>
    </w:p>
    <w:p>
      <w:pPr>
        <w:widowControl/>
        <w:spacing w:after="156" w:afterLines="50" w:line="400" w:lineRule="exact"/>
        <w:jc w:val="center"/>
        <w:rPr>
          <w:rFonts w:cs="宋体" w:asciiTheme="minorEastAsia" w:hAnsiTheme="minorEastAsia"/>
          <w:b/>
          <w:kern w:val="0"/>
          <w:sz w:val="28"/>
          <w:szCs w:val="28"/>
        </w:rPr>
      </w:pP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教室是教师教学与学生学习的重要场所。为切实加强教室管理,保证教学设施设备完好和教室资源的有效利用，维护正常教学秩序，创建良好的教学环境，保障课堂教学和学生自习的需要，特制定本办法。</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一、教室管理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（一）职责分工</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全校各类教室由教务处、后勤处、现代教育技术中心、国有资产与实验设备管理处和继续教育学院共同管理，各部门在教室管理中的职责是：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1.教务处：负责全校教室（指全校公用教室，已明确的专用教室除外，下同）的统筹安排和统一调配。未经教务处批准，任何单位和个人无权调度和擅自使用教室。具体职责是：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（1）制定教室使用、管理的规章制度；</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（2）根据学生人数、课程特点与教学需要，合理安排教室的使用；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（3）协调普通教育与继续教育等各层次、各形式教育对教室资源的合理利用；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（4）负责临时使用教室的审批；</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（5）协助受理二级学院、教师、学生反映的有关教室管理的问题并转送相关职能部门办理。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2.后勤处：负责全校所有教室的日常管理。具体职责是：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（1）制定教室管理人员工作职责；</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（2）负责教室的清洁卫生，监督秩序；</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（3）负责教室内设施、设备的财产管理和安全管理；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（4）负责教室内基本设施的建设和日常维护，包括桌椅、门窗（含窗帘）、灯具、水电等的管理与维护；</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（5）负责教学易耗品（粉笔、板刷等）的领发。</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3.现代教育技术中心：负责全校多媒体教室的多媒体设备、语音设备（含软件系统）的日常管理与维护（修）。具体职责是：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（1）负责制定多媒体教室、语音教室中多媒体、语音设备的管理制度；</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（2）负责多媒体教室、语音教室设备的检查维修和监管，确保设备正常使用；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（3）负责多媒体教室、语音教室软件系统的维护与管理；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（4）负责对教师使用多媒体、语音设备的操作培训。</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4.国有资产与实验设备管理处：负责全校所有教学楼内与教师教学、学生学习有关的设备及教学易耗品购置计划拟定、购置、安装、调试、维修等工作。</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继续教育学院：负责各类非学历教育和技能培训活动的资质审定。对提供的合法营业执照、营业执照复印件并加盖承担培训单位的鲜章、正规培训机构委托书、办学点与培训机构正式协议、收费标准许可等合法材料进行审定，并与学校签订协议，在校内开展的各类非学历教育和技能培训活动必须包含在营业范围之内。</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（二）教室开放</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全校所有教室尽量全部开放，以满足日常教学与学生自习的需要。开放时间按照学校作息时间进行（经批准设立的通宵教室除外）。节假日按照学校有关规定开放。</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（三）对物业公司的管理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学校后勤处代表学校对物业公司教室管理情况实施监管。各二级学院、教师、学生反映的、需由物业公司解决的有关教室管理方面的问题应由后勤处受理并出面交涉、解决。后勤处应要求：</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物业公司教室管理人员每天对教室进行清扫，按规定时间开放教室。上课前应检查粉笔、板刷等是否齐全，桌椅、门窗、照明、电源插座、黑板、讲台、电扇等室内设备是否完好，如有损坏应及时报后勤处。属于后勤处职责范围内的问题，应由后勤处负责处理；如属其它部门职责范围内的问题，应由后勤处告知相关部门，由有关部门负责处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2.物业公司负责教师休息室的管理人员必须保管好教师休息室内的设施、设备，为教师教学提供必需的服务，保证教师休息室清洁、卫生。教师休息室内设施、设备损坏应及时报后勤处处理。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（四）定期巡视与维修</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务处、后勤处、现代教育技术中心要建立教室巡视制度，定期对教室进行巡视，发现问题，及时解决。每学期寒、暑假，后勤处、现代教育技术中心、国有资产与实验设备管理处应对全校各教室的设施、设备进行全面的检查、维修，以保证新学期教室能完全满足教学的需求。</w:t>
      </w:r>
    </w:p>
    <w:p>
      <w:pPr>
        <w:spacing w:line="360" w:lineRule="auto"/>
        <w:ind w:firstLine="482" w:firstLineChars="200"/>
        <w:rPr>
          <w:rFonts w:cs="Times New Roman" w:asciiTheme="minorEastAsia" w:hAnsiTheme="minorEastAsia"/>
          <w:b/>
          <w:bCs/>
          <w:sz w:val="24"/>
          <w:szCs w:val="24"/>
        </w:rPr>
      </w:pPr>
      <w:r>
        <w:rPr>
          <w:rFonts w:hint="eastAsia" w:cs="Times New Roman" w:asciiTheme="minorEastAsia" w:hAnsiTheme="minorEastAsia"/>
          <w:b/>
          <w:bCs/>
          <w:sz w:val="24"/>
          <w:szCs w:val="24"/>
        </w:rPr>
        <w:t>二、教室使用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（一）计划内使用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教务处于每学期开学前将课程表送达后勤处（转送物业公司）和现代教育技术中心，课表发生异动时或受理教师调、停课、补课申请后，教务处应及时书面通知后勤处（转送物业公司）。</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（二）计划外使用</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教室是学校重要的教学资源，是实施教学的重要场所。教室使用应优先保证教学计划内教学和学生自学的需要。在保证计划内教学和本校学生自习的前提下，校内各部门和校外有关单位经审批后，由教务处合理安排教室，但参培对象须是在校全日制本（专）科学生，原则上不接受参培对象为校外人员的各类培训。校外单位（部门）的短期临时租用教室应以公函的方式到教务处办理相关手续方可使用教室。任何单位、部门或个人未经批准，不得擅自调换或随意租借、占用教室，违者将按学校有关规定给予严肃处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临时使用教室分为无偿使用和有偿使用。凡学校党、政、工、团、学生会等安排的活动使用教室，为无偿使用；校内外各单位举办的各类非学历教育和技能培训活动使用教室，为有偿使用，应缴纳费用。收费标准与办法另行规定。</w:t>
      </w:r>
    </w:p>
    <w:p>
      <w:pPr>
        <w:spacing w:line="360" w:lineRule="auto"/>
        <w:ind w:firstLine="480" w:firstLineChars="200"/>
        <w:rPr>
          <w:rFonts w:cs="Times New Roman" w:asciiTheme="minorEastAsia" w:hAnsiTheme="minorEastAsia"/>
          <w:spacing w:val="-4"/>
          <w:sz w:val="24"/>
          <w:szCs w:val="24"/>
        </w:rPr>
      </w:pPr>
      <w:r>
        <w:rPr>
          <w:rFonts w:hint="eastAsia" w:cs="Times New Roman" w:asciiTheme="minorEastAsia" w:hAnsiTheme="minorEastAsia"/>
          <w:sz w:val="24"/>
          <w:szCs w:val="24"/>
        </w:rPr>
        <w:t>2.</w:t>
      </w:r>
      <w:r>
        <w:rPr>
          <w:rFonts w:hint="eastAsia" w:cs="Times New Roman" w:asciiTheme="minorEastAsia" w:hAnsiTheme="minorEastAsia"/>
          <w:spacing w:val="-4"/>
          <w:sz w:val="24"/>
          <w:szCs w:val="24"/>
        </w:rPr>
        <w:t>凡临时使用教室的单位和个人，均应填写《内江师范学院网上借用教室申请单》，由教室使用单位或个人到所属二级学院（部门）审批并完成网上教室借用流程，打印出《内江师范学院教室借用通知单（三联单）》，教务处审核后，将通知单分别送达后勤处（转送物业公司）、所属二级学院（部门）和教务处，以保证教室按时开放，教室内音响、多媒体设备、设施能正常使用。</w:t>
      </w:r>
    </w:p>
    <w:p>
      <w:pPr>
        <w:spacing w:line="360" w:lineRule="auto"/>
        <w:ind w:firstLine="464" w:firstLineChars="200"/>
        <w:rPr>
          <w:rFonts w:cs="Times New Roman" w:asciiTheme="minorEastAsia" w:hAnsiTheme="minorEastAsia"/>
          <w:spacing w:val="-4"/>
          <w:sz w:val="24"/>
          <w:szCs w:val="24"/>
        </w:rPr>
      </w:pPr>
      <w:r>
        <w:rPr>
          <w:rFonts w:hint="eastAsia" w:cs="Times New Roman" w:asciiTheme="minorEastAsia" w:hAnsiTheme="minorEastAsia"/>
          <w:spacing w:val="-4"/>
          <w:sz w:val="24"/>
          <w:szCs w:val="24"/>
        </w:rPr>
        <w:t>3.校内外各单位举办的各类非学历教育和技能培训活动，若需要使用教室，须持继续教育学院审定并签署的协议，提供培训计划，到教务处填写《内江师范学院网上借用教室申请单》，经教务处审批并完成网上教室借用流程，打印出《内江师范学院教室借用通知单（三联单）》，并将第一联送达后勤处（转送物业公司），以保证教室按时开放，教室内音响、多媒体设备、设施能正常使用。</w:t>
      </w:r>
    </w:p>
    <w:p>
      <w:pPr>
        <w:spacing w:line="360" w:lineRule="auto"/>
        <w:ind w:firstLine="464" w:firstLineChars="200"/>
        <w:rPr>
          <w:rFonts w:cs="Times New Roman" w:asciiTheme="minorEastAsia" w:hAnsiTheme="minorEastAsia"/>
          <w:sz w:val="24"/>
          <w:szCs w:val="24"/>
        </w:rPr>
      </w:pPr>
      <w:r>
        <w:rPr>
          <w:rFonts w:hint="eastAsia" w:cs="Times New Roman" w:asciiTheme="minorEastAsia" w:hAnsiTheme="minorEastAsia"/>
          <w:spacing w:val="-4"/>
          <w:sz w:val="24"/>
          <w:szCs w:val="24"/>
        </w:rPr>
        <w:t>4.为进一步明确职责，减少管理环节，提高工作</w:t>
      </w:r>
      <w:r>
        <w:rPr>
          <w:rFonts w:hint="eastAsia" w:cs="Times New Roman" w:asciiTheme="minorEastAsia" w:hAnsiTheme="minorEastAsia"/>
          <w:sz w:val="24"/>
          <w:szCs w:val="24"/>
        </w:rPr>
        <w:t>效率，教务处和后勤处应各自明确一名责任人，负责教室使用的管理。教务处由教学行政管理科指定一名责任人负责审核临时使用教室的申请；后勤处指定一名责任人负责接收临时使用教室的书面申请并通知教室管理人员准时开放教室、准备好音响和多媒体设备。</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5.已办理使用教室手续，如遇学校统一安排的活动，须优先保证学校安排的活动，必要时暂停借用。</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三、教室使用规范及违规处理办法</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1.教室是教学活动的主要场所，要保持肃静，不准在走廊、教室内打闹或大声喧哗。</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2.保持走廊、教室墙壁的清洁，不得随地吐痰、踢踏墙壁、乱丢果皮、纸屑、杂物，不得在课桌、椅、黑板和墙上涂写、刻画和张贴，不得在教室使用明火和违章用电，不得在教学楼内设点售货。</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3.教室内不得有不文明行为。</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4.楼道和教室内禁止吸烟。</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5.注意节约水电，不使用水电时应立即关闭。遇风雨时要关好门窗。</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6.教室内的设施设备未经主管部门同意不得搬出室外或移作他用。</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7.教室管理人员应认真履行岗位职责，按学校规定的作息时间开关教室，定期检查室内设备、家具，防止丢失。室内设备如有损坏应及时向有关部门反映，保证教室的正常使用。</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8.对违反上述规定的行为，教室管理人员有权制止、批评教育和责令赔偿。广大师生应自觉遵守教室使用规定，服从职能部门的管理。</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9.对擅自使用教室（包括专用教室）的学校师生，责令其停止使用，对责任人给予全校通报批评；不听劝阻，情节严重的，将给予警告及以上处分。</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10.对擅自使用教室的校外机构和个人，责令其停止使用，并将责任人送交学校保卫处，严肃处理。</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11.对办理了教室借用手续，但实际用途与申请借用用途不一致的，责令其停止使用，并对责任人给予批评教育；不听劝阻，情节严重的，给予全校通报直至警告及以上处分。</w:t>
      </w:r>
    </w:p>
    <w:p>
      <w:pPr>
        <w:spacing w:line="360" w:lineRule="auto"/>
        <w:ind w:firstLine="482" w:firstLineChars="200"/>
        <w:rPr>
          <w:rFonts w:cs="Times New Roman" w:asciiTheme="minorEastAsia" w:hAnsiTheme="minorEastAsia"/>
          <w:b/>
          <w:bCs/>
          <w:sz w:val="24"/>
          <w:szCs w:val="24"/>
        </w:rPr>
      </w:pPr>
      <w:r>
        <w:rPr>
          <w:rFonts w:hint="eastAsia" w:cs="Times New Roman" w:asciiTheme="minorEastAsia" w:hAnsiTheme="minorEastAsia"/>
          <w:b/>
          <w:bCs/>
          <w:sz w:val="24"/>
          <w:szCs w:val="24"/>
        </w:rPr>
        <w:t>四、本办法自发布之日起执行，由教务处负责解释。</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tabs>
          <w:tab w:val="left" w:pos="7938"/>
        </w:tabs>
        <w:spacing w:line="360" w:lineRule="auto"/>
        <w:ind w:left="3574" w:hanging="3573" w:hangingChars="1489"/>
        <w:jc w:val="right"/>
        <w:rPr>
          <w:rFonts w:cs="Times New Roman" w:asciiTheme="minorEastAsia" w:hAnsiTheme="minorEastAsia"/>
          <w:sz w:val="24"/>
          <w:szCs w:val="24"/>
        </w:rPr>
      </w:pPr>
      <w:r>
        <w:rPr>
          <w:rFonts w:hint="eastAsia" w:cs="Times New Roman" w:asciiTheme="minorEastAsia" w:hAnsiTheme="minorEastAsia"/>
          <w:sz w:val="24"/>
          <w:szCs w:val="24"/>
        </w:rPr>
        <w:t>2014年11月11日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pStyle w:val="10"/>
        <w:adjustRightInd w:val="0"/>
        <w:snapToGrid w:val="0"/>
        <w:spacing w:before="0" w:beforeAutospacing="0" w:after="0" w:afterAutospacing="0" w:line="560" w:lineRule="exact"/>
        <w:jc w:val="center"/>
        <w:rPr>
          <w:b/>
          <w:sz w:val="32"/>
          <w:szCs w:val="32"/>
        </w:rPr>
      </w:pPr>
      <w:r>
        <w:rPr>
          <w:b/>
          <w:sz w:val="32"/>
          <w:szCs w:val="32"/>
        </w:rPr>
        <w:t>内江师范学院</w:t>
      </w:r>
    </w:p>
    <w:p>
      <w:pPr>
        <w:pStyle w:val="10"/>
        <w:adjustRightInd w:val="0"/>
        <w:snapToGrid w:val="0"/>
        <w:spacing w:before="0" w:beforeAutospacing="0" w:after="0" w:afterAutospacing="0" w:line="560" w:lineRule="exact"/>
        <w:jc w:val="center"/>
        <w:rPr>
          <w:b/>
          <w:sz w:val="32"/>
          <w:szCs w:val="32"/>
        </w:rPr>
      </w:pPr>
      <w:r>
        <w:rPr>
          <w:b/>
          <w:sz w:val="32"/>
          <w:szCs w:val="32"/>
        </w:rPr>
        <w:t>本科毕业论文 (设计、创作)工作管理办法（修订）</w:t>
      </w:r>
    </w:p>
    <w:p>
      <w:pPr>
        <w:widowControl/>
        <w:spacing w:after="156" w:afterLines="50" w:line="560" w:lineRule="exact"/>
        <w:jc w:val="center"/>
        <w:rPr>
          <w:rFonts w:ascii="宋体" w:hAnsi="宋体" w:cs="宋体"/>
          <w:b/>
          <w:kern w:val="0"/>
          <w:sz w:val="28"/>
          <w:szCs w:val="28"/>
        </w:rPr>
      </w:pPr>
      <w:r>
        <w:rPr>
          <w:rFonts w:hint="eastAsia" w:ascii="宋体" w:hAnsi="宋体" w:cs="宋体"/>
          <w:b/>
          <w:kern w:val="0"/>
          <w:sz w:val="28"/>
          <w:szCs w:val="28"/>
        </w:rPr>
        <w:t>内师院发〔2018〕57号</w:t>
      </w:r>
    </w:p>
    <w:p>
      <w:pPr>
        <w:pStyle w:val="10"/>
        <w:adjustRightInd w:val="0"/>
        <w:snapToGrid w:val="0"/>
        <w:spacing w:before="0" w:beforeAutospacing="0" w:after="0" w:afterAutospacing="0" w:line="560" w:lineRule="exact"/>
        <w:jc w:val="center"/>
        <w:rPr>
          <w:rFonts w:ascii="仿宋_GB2312" w:eastAsia="仿宋_GB2312"/>
          <w:sz w:val="28"/>
          <w:szCs w:val="28"/>
        </w:rPr>
      </w:pPr>
    </w:p>
    <w:p>
      <w:pPr>
        <w:pStyle w:val="10"/>
        <w:adjustRightInd w:val="0"/>
        <w:snapToGrid w:val="0"/>
        <w:spacing w:before="0" w:beforeAutospacing="0" w:after="0" w:afterAutospacing="0" w:line="360" w:lineRule="auto"/>
        <w:jc w:val="center"/>
        <w:outlineLvl w:val="0"/>
        <w:rPr>
          <w:b/>
        </w:rPr>
      </w:pPr>
      <w:r>
        <w:rPr>
          <w:b/>
        </w:rPr>
        <w:t>第一章 总则</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第一条 为了加强对本科毕业论文（设计、创作）（简称毕业论文，下同）的指导和管理，提高本科毕业论文的质量，根据《关于加强普通高等学校毕业设计（论文）工作的通知》（教高厅</w:t>
      </w:r>
      <w:r>
        <w:rPr>
          <w:rFonts w:hint="eastAsia" w:ascii="宋体" w:hAnsi="宋体" w:eastAsia="宋体" w:cs="Arial Unicode MS"/>
        </w:rPr>
        <w:t>〔</w:t>
      </w:r>
      <w:r>
        <w:rPr>
          <w:rFonts w:hint="eastAsia" w:ascii="宋体" w:hAnsi="宋体" w:eastAsia="宋体" w:cs="宋体"/>
        </w:rPr>
        <w:t>2004</w:t>
      </w:r>
      <w:r>
        <w:rPr>
          <w:rFonts w:hint="eastAsia" w:ascii="宋体" w:hAnsi="宋体" w:eastAsia="宋体" w:cs="Arial Unicode MS"/>
        </w:rPr>
        <w:t>〕</w:t>
      </w:r>
      <w:r>
        <w:rPr>
          <w:rFonts w:hint="eastAsia" w:ascii="宋体" w:hAnsi="宋体" w:eastAsia="宋体" w:cs="宋体"/>
        </w:rPr>
        <w:t>14号）、《普通高等学校本科专业类教学质量国家标准》和《学位论文作假行为处理办法》（教育部令第34号）文件精神，结合学校实际，特制定本办法。</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第二条 本办法中所提到的“创作说明”、“设计说明”是对毕业创作或毕业设计的成果论述，撰写要求与毕业论文相同。</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第三条 毕业论文</w:t>
      </w:r>
      <w:r>
        <w:rPr>
          <w:rFonts w:hint="eastAsia" w:ascii="宋体" w:hAnsi="宋体" w:eastAsia="宋体" w:cs="宋体"/>
        </w:rPr>
        <w:t>工作</w:t>
      </w:r>
      <w:r>
        <w:rPr>
          <w:rFonts w:ascii="宋体" w:hAnsi="宋体" w:eastAsia="宋体" w:cs="宋体"/>
        </w:rPr>
        <w:t>时间不得少于人才培养方案规定</w:t>
      </w:r>
      <w:r>
        <w:rPr>
          <w:rFonts w:hint="eastAsia" w:ascii="宋体" w:hAnsi="宋体" w:eastAsia="宋体" w:cs="宋体"/>
        </w:rPr>
        <w:t>要求，原则上应在第七学期末下达任务书，学生于下一个学期开学前完成选题及文献查阅等工作。</w:t>
      </w:r>
      <w:r>
        <w:rPr>
          <w:rFonts w:ascii="宋体" w:hAnsi="宋体" w:eastAsia="宋体" w:cs="宋体"/>
        </w:rPr>
        <w:t>毕业论文工作的主要环</w:t>
      </w:r>
      <w:r>
        <w:rPr>
          <w:rFonts w:ascii="宋体" w:hAnsi="宋体" w:eastAsia="宋体" w:cs="宋体"/>
          <w:w w:val="98"/>
        </w:rPr>
        <w:t>节包括：申报题目、选题、开题、中期检查、审阅、评阅、答辩、成绩评定、总结归档</w:t>
      </w:r>
      <w:r>
        <w:rPr>
          <w:rFonts w:ascii="宋体" w:hAnsi="宋体" w:eastAsia="宋体" w:cs="宋体"/>
        </w:rPr>
        <w:t>。</w:t>
      </w:r>
    </w:p>
    <w:p>
      <w:pPr>
        <w:pStyle w:val="7"/>
        <w:adjustRightInd w:val="0"/>
        <w:snapToGrid w:val="0"/>
        <w:spacing w:line="360" w:lineRule="auto"/>
        <w:jc w:val="center"/>
        <w:outlineLvl w:val="0"/>
        <w:rPr>
          <w:rFonts w:hAnsi="宋体" w:cs="宋体"/>
          <w:b/>
          <w:kern w:val="0"/>
          <w:sz w:val="24"/>
          <w:szCs w:val="24"/>
        </w:rPr>
      </w:pPr>
      <w:r>
        <w:rPr>
          <w:rFonts w:hint="eastAsia" w:hAnsi="宋体" w:cs="宋体"/>
          <w:b/>
          <w:kern w:val="0"/>
          <w:sz w:val="24"/>
          <w:szCs w:val="24"/>
        </w:rPr>
        <w:t>第二章 组织管理</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第</w:t>
      </w:r>
      <w:r>
        <w:rPr>
          <w:rFonts w:hint="eastAsia" w:ascii="宋体" w:hAnsi="宋体" w:eastAsia="宋体" w:cs="宋体"/>
        </w:rPr>
        <w:t>四</w:t>
      </w:r>
      <w:r>
        <w:rPr>
          <w:rFonts w:ascii="宋体" w:hAnsi="宋体" w:eastAsia="宋体" w:cs="宋体"/>
        </w:rPr>
        <w:t>条</w:t>
      </w:r>
      <w:r>
        <w:rPr>
          <w:rFonts w:hint="eastAsia" w:ascii="宋体" w:hAnsi="宋体" w:eastAsia="宋体" w:cs="宋体"/>
        </w:rPr>
        <w:t xml:space="preserve"> 毕业论文工作实行校院两级管理，分别成立校院毕业论文工作领导小组。</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第</w:t>
      </w:r>
      <w:r>
        <w:rPr>
          <w:rFonts w:hint="eastAsia" w:ascii="宋体" w:hAnsi="宋体" w:eastAsia="宋体" w:cs="宋体"/>
        </w:rPr>
        <w:t>五</w:t>
      </w:r>
      <w:r>
        <w:rPr>
          <w:rFonts w:ascii="宋体" w:hAnsi="宋体" w:eastAsia="宋体" w:cs="宋体"/>
        </w:rPr>
        <w:t>条</w:t>
      </w:r>
      <w:r>
        <w:rPr>
          <w:rFonts w:hint="eastAsia" w:ascii="宋体" w:hAnsi="宋体" w:eastAsia="宋体" w:cs="宋体"/>
        </w:rPr>
        <w:t xml:space="preserve"> 学校毕业论文工作领导小组在分管教学校长的领导下进行，由教务处具体负责毕业论文的日常管理工作，主要职责为：</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1.制定毕业论文工作指导性文件及操作规范，对毕业论文工作进行宏观指导和协调。</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2.开展毕业论文工作过程管理，组织抽查毕业论文并做质量评估。</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3.组织校级优秀毕业论文和优秀指导教师评选工作。</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4.开展毕业论文工作总结，组织经验交流。</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第六条 二级学院毕业论文工作领导小组在二级学院院长的领导下开展工作，主要职责为：</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1.根据学校毕业论文工作指导性文件和人才培养方案要求，拟定毕业论文工作计划，安排布置毕业论文工作任务，进行毕业论文工作动员。</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.做好毕业论文质量监控，开展毕业论文工作进展情况检查，尤其要做好题目审查、开题、期中和答辩等环节的检查。</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审定毕业论文成绩。</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评选并向学校推荐本学院优秀毕业论文和优秀指导教师。</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.开展本学院毕业论文工作总结。</w:t>
      </w:r>
    </w:p>
    <w:p>
      <w:pPr>
        <w:pStyle w:val="5"/>
        <w:tabs>
          <w:tab w:val="left" w:pos="2023"/>
        </w:tabs>
        <w:kinsoku w:val="0"/>
        <w:overflowPunct w:val="0"/>
        <w:adjustRightInd w:val="0"/>
        <w:snapToGrid w:val="0"/>
        <w:spacing w:line="360" w:lineRule="auto"/>
        <w:ind w:firstLine="470" w:firstLineChars="200"/>
        <w:rPr>
          <w:rFonts w:ascii="宋体" w:hAnsi="宋体" w:eastAsia="宋体" w:cs="宋体"/>
          <w:w w:val="98"/>
        </w:rPr>
      </w:pPr>
      <w:r>
        <w:rPr>
          <w:rFonts w:ascii="宋体" w:hAnsi="宋体" w:eastAsia="宋体" w:cs="宋体"/>
          <w:w w:val="98"/>
        </w:rPr>
        <w:t>第</w:t>
      </w:r>
      <w:r>
        <w:rPr>
          <w:rFonts w:hint="eastAsia" w:ascii="宋体" w:hAnsi="宋体" w:eastAsia="宋体" w:cs="宋体"/>
          <w:w w:val="98"/>
        </w:rPr>
        <w:t>七</w:t>
      </w:r>
      <w:r>
        <w:rPr>
          <w:rFonts w:ascii="宋体" w:hAnsi="宋体" w:eastAsia="宋体" w:cs="宋体"/>
          <w:w w:val="98"/>
        </w:rPr>
        <w:t xml:space="preserve">条 </w:t>
      </w:r>
      <w:r>
        <w:rPr>
          <w:rFonts w:hint="eastAsia" w:ascii="宋体" w:hAnsi="宋体" w:eastAsia="宋体" w:cs="宋体"/>
          <w:w w:val="98"/>
        </w:rPr>
        <w:t>教务处与二级学院应共同做好毕业论文各环节质量监控，保证毕业论文质量。</w:t>
      </w:r>
    </w:p>
    <w:p>
      <w:pPr>
        <w:pStyle w:val="10"/>
        <w:adjustRightInd w:val="0"/>
        <w:snapToGrid w:val="0"/>
        <w:spacing w:before="0" w:beforeAutospacing="0" w:after="0" w:afterAutospacing="0" w:line="360" w:lineRule="auto"/>
        <w:jc w:val="center"/>
        <w:outlineLvl w:val="0"/>
        <w:rPr>
          <w:b/>
        </w:rPr>
      </w:pPr>
      <w:r>
        <w:rPr>
          <w:b/>
        </w:rPr>
        <w:t>第三章 选题</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ascii="宋体" w:hAnsi="宋体" w:eastAsia="宋体" w:cs="宋体"/>
        </w:rPr>
        <w:t>第</w:t>
      </w:r>
      <w:r>
        <w:rPr>
          <w:rFonts w:hint="eastAsia" w:ascii="宋体" w:hAnsi="宋体" w:eastAsia="宋体" w:cs="宋体"/>
        </w:rPr>
        <w:t>八</w:t>
      </w:r>
      <w:r>
        <w:rPr>
          <w:rFonts w:ascii="宋体" w:hAnsi="宋体" w:eastAsia="宋体" w:cs="宋体"/>
        </w:rPr>
        <w:t>条</w:t>
      </w:r>
      <w:r>
        <w:rPr>
          <w:rFonts w:hint="eastAsia" w:ascii="宋体" w:hAnsi="宋体" w:eastAsia="宋体" w:cs="宋体"/>
        </w:rPr>
        <w:t xml:space="preserve"> 选题基本原则</w:t>
      </w:r>
    </w:p>
    <w:p>
      <w:pPr>
        <w:pStyle w:val="5"/>
        <w:tabs>
          <w:tab w:val="left" w:pos="2023"/>
        </w:tabs>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1.选题应符合专业培养目标和教学基本要求，能达到综合训练的目的。</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2.选题应与</w:t>
      </w:r>
      <w:r>
        <w:rPr>
          <w:rFonts w:ascii="宋体" w:hAnsi="宋体" w:eastAsia="宋体" w:cs="宋体"/>
        </w:rPr>
        <w:t>教学、科研、生产、文化和社会相结合，其中工科类专业学生的毕业设计题目应结合工程、生产和实际应用</w:t>
      </w:r>
      <w:r>
        <w:rPr>
          <w:rFonts w:hint="eastAsia" w:ascii="宋体" w:hAnsi="宋体" w:eastAsia="宋体" w:cs="宋体"/>
        </w:rPr>
        <w:t>；</w:t>
      </w:r>
      <w:r>
        <w:rPr>
          <w:rFonts w:ascii="宋体" w:hAnsi="宋体" w:eastAsia="宋体" w:cs="宋体"/>
        </w:rPr>
        <w:t>理科类、经管类专业学生的毕业论文应结合当前的科技、经济和社会发展；</w:t>
      </w:r>
      <w:r>
        <w:rPr>
          <w:rFonts w:hint="eastAsia" w:ascii="宋体" w:hAnsi="宋体" w:eastAsia="宋体" w:cs="宋体"/>
        </w:rPr>
        <w:t>文科类、法学类、教育类及艺术类专业学生的毕业论文应有一定的新颖性和实用性，能反映社会、经济、文化中的实际问题。</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3.选题应有利于学生理论水平和实际工作能力的锻炼与提高,体现因材施教，鼓励学生有所创新。</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4.选题的难度和份量应适当，工作量饱满，学生在教师的指导下，经努力后能完成任务。</w:t>
      </w:r>
    </w:p>
    <w:p>
      <w:pPr>
        <w:pStyle w:val="5"/>
        <w:tabs>
          <w:tab w:val="left" w:pos="2023"/>
        </w:tabs>
        <w:kinsoku w:val="0"/>
        <w:overflowPunct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5.毕业论文应保证学生一人一题。毕业论文选定的题目确需由多人完成的，应明确各自的分工和任务，独立完成分工部分任务。</w:t>
      </w:r>
    </w:p>
    <w:p>
      <w:pPr>
        <w:pStyle w:val="7"/>
        <w:adjustRightInd w:val="0"/>
        <w:snapToGrid w:val="0"/>
        <w:spacing w:line="360" w:lineRule="auto"/>
        <w:ind w:firstLine="480" w:firstLineChars="200"/>
        <w:rPr>
          <w:rFonts w:hAnsi="宋体" w:cs="宋体"/>
          <w:sz w:val="24"/>
          <w:szCs w:val="24"/>
        </w:rPr>
      </w:pPr>
      <w:r>
        <w:rPr>
          <w:rFonts w:hAnsi="宋体" w:cs="宋体"/>
          <w:sz w:val="24"/>
          <w:szCs w:val="24"/>
        </w:rPr>
        <w:t>第</w:t>
      </w:r>
      <w:r>
        <w:rPr>
          <w:rFonts w:hint="eastAsia" w:hAnsi="宋体" w:cs="宋体"/>
          <w:sz w:val="24"/>
          <w:szCs w:val="24"/>
        </w:rPr>
        <w:t>九</w:t>
      </w:r>
      <w:r>
        <w:rPr>
          <w:rFonts w:hAnsi="宋体" w:cs="宋体"/>
          <w:sz w:val="24"/>
          <w:szCs w:val="24"/>
        </w:rPr>
        <w:t>条</w:t>
      </w:r>
      <w:r>
        <w:rPr>
          <w:rFonts w:hint="eastAsia" w:hAnsi="宋体" w:cs="宋体"/>
          <w:sz w:val="24"/>
          <w:szCs w:val="24"/>
        </w:rPr>
        <w:t xml:space="preserve"> 选题程序</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1.指导教师根据毕业论文选题原则拟定题目，明确完成该课题需具备的条件。学生也可自拟题目，但应符合毕业论文的选题原则并得到指导教师同意。</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2.指导教师负责毕业论文题目申报，教研室对申报题目进行审核。</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3.二级学院对教研室审核的题目进行审定，报教务处备案后执行。</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4.公布毕业论文题目，完成学生选题。毕业论文题目一经选定并上报后，不得随意更改。若确需变更题目，应经指导教师和二级学院院长同意，报教务处审定、备案。</w:t>
      </w:r>
    </w:p>
    <w:p>
      <w:pPr>
        <w:pStyle w:val="10"/>
        <w:adjustRightInd w:val="0"/>
        <w:snapToGrid w:val="0"/>
        <w:spacing w:before="0" w:beforeAutospacing="0" w:after="0" w:afterAutospacing="0" w:line="360" w:lineRule="auto"/>
        <w:jc w:val="center"/>
        <w:outlineLvl w:val="0"/>
        <w:rPr>
          <w:b/>
        </w:rPr>
      </w:pPr>
      <w:r>
        <w:rPr>
          <w:b/>
        </w:rPr>
        <w:t>第四章 指导教师</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第十条 指导教师的资格</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指导教师应具有中级及以上职称（或同等专业技术职称）或具有硕士研究生及以上学历学位。助教(或同级专业技术职称)可协助指导毕业论文。每位指导教师指导学生人数参照《普通高等学校本科专业类教学质量国家标准》中要求执行（标准中未作要求的，原则上不超过10人）。</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2.聘请校外指导教师指导毕业论文，聘请的校外指导教师应具备相当于讲师及以上专业技术职称。二级学院应做好过程质量监控，定期不定期进行检查。</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第十一条 指导教师的主要职责</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1.对学生进行学术道德和学术规范教育。</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2.指导学生选题并下达任务书，审核学生开题。</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3.检查和指导学生的工作进度和质量，解答学生提出的问题，指导学生按规范完成毕业论文撰写工作。</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4.负责审查所指导学生毕业论文是否由学生本人独立完成，发现毕业论文作假行为应及时加以制止。</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5.指导学生准备毕业论文答辩，就学生的学习态度、能力水平、毕业论文质量及应用价值等方面给出评定意见、评定成绩。</w:t>
      </w:r>
    </w:p>
    <w:p>
      <w:pPr>
        <w:pStyle w:val="10"/>
        <w:adjustRightInd w:val="0"/>
        <w:snapToGrid w:val="0"/>
        <w:spacing w:before="0" w:beforeAutospacing="0" w:after="0" w:afterAutospacing="0" w:line="360" w:lineRule="auto"/>
        <w:jc w:val="center"/>
        <w:outlineLvl w:val="0"/>
        <w:rPr>
          <w:b/>
        </w:rPr>
      </w:pPr>
      <w:r>
        <w:rPr>
          <w:b/>
        </w:rPr>
        <w:t>第五章 学生</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第十二条　学生应根据指导教师下达的任务书，以严谨、勤奋、求实、创新的良好学风，综合运用所学知识解决实际问题，通过毕业论文获取新知识，提高独立工作能力和科研能力。</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在撰写毕业论文期间，应严格遵守学校、二级学院或所在单位的各项规章制度，注意安全，在指定的地点和时间进行，原则上不准请假。如因病因事确需请假，应按学校有关规定办理请假手续，否则按旷课处理。学生缺勤（含事、病假）累计超过毕业论文时间的1/4者，取消答辩资格，不予评定成绩。</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2.按要求完成以下内容：</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（1）选定毕业论文题目后，认真准备毕业论文开题报告。</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（2）按照指导教师下达的毕业论文任务书要求，在指导教师的指导下按时、保质、保量完成毕业论文任务书提出的各阶段工作任务，并定期向指导教师汇报工作进展情况(每周至少一次)。</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（3）毕业论文正文原则上不少于0.6万字（理工科不少于0.5万字，外语专业全外文的论文，不少于0.4万单词，艺术类毕业设计或创作说明不少于0.3万字），中、英文摘要</w:t>
      </w:r>
      <w:r>
        <w:rPr>
          <w:rFonts w:hAnsi="宋体" w:cs="宋体"/>
          <w:sz w:val="24"/>
          <w:szCs w:val="24"/>
        </w:rPr>
        <w:t>3</w:t>
      </w:r>
      <w:r>
        <w:rPr>
          <w:rFonts w:hint="eastAsia" w:hAnsi="宋体" w:cs="宋体"/>
          <w:sz w:val="24"/>
          <w:szCs w:val="24"/>
        </w:rPr>
        <w:t>00字左右 (外语专业论文的摘要不少于200个单词)。撰写格式及标准详见《内江师范学院本科毕业论文撰写基本规范》（附件1）。</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（4）按时按要求参加毕业论文答辩。</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3.学生应对自己完成的毕业论文负全部责任，毕业论文检测达到学校要求后提交指导教师审阅。对论文作假行为者，成绩记零分，并依据《内江师范学院学位论文作假行为处理办法》给予处理。</w:t>
      </w:r>
    </w:p>
    <w:p>
      <w:pPr>
        <w:pStyle w:val="7"/>
        <w:adjustRightInd w:val="0"/>
        <w:snapToGrid w:val="0"/>
        <w:spacing w:line="360" w:lineRule="auto"/>
        <w:jc w:val="center"/>
        <w:outlineLvl w:val="0"/>
        <w:rPr>
          <w:rFonts w:hAnsi="宋体" w:cs="宋体"/>
          <w:b/>
          <w:sz w:val="24"/>
          <w:szCs w:val="24"/>
        </w:rPr>
      </w:pPr>
      <w:r>
        <w:rPr>
          <w:rFonts w:hint="eastAsia" w:hAnsi="宋体" w:cs="宋体"/>
          <w:b/>
          <w:sz w:val="24"/>
          <w:szCs w:val="24"/>
        </w:rPr>
        <w:t>第六章 答辩及成绩评定</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第十三条 毕业论文答辩之前，指导教师和评阅教师应对学生的毕业论文（包括毕业设计作品、毕业创作作品）进行审阅和评阅，写出评语并评定成绩，</w:t>
      </w:r>
      <w:r>
        <w:rPr>
          <w:rFonts w:ascii="宋体" w:hAnsi="宋体" w:cs="宋体"/>
          <w:sz w:val="24"/>
        </w:rPr>
        <w:t>成绩评定参照</w:t>
      </w:r>
      <w:r>
        <w:rPr>
          <w:rFonts w:hint="eastAsia" w:ascii="宋体" w:hAnsi="宋体" w:cs="宋体"/>
          <w:sz w:val="24"/>
        </w:rPr>
        <w:t>《内江师范学院本科毕业论文评价标准》（</w:t>
      </w:r>
      <w:r>
        <w:rPr>
          <w:rFonts w:ascii="宋体" w:hAnsi="宋体" w:cs="宋体"/>
          <w:sz w:val="24"/>
        </w:rPr>
        <w:t>附件2</w:t>
      </w:r>
      <w:r>
        <w:rPr>
          <w:rFonts w:hint="eastAsia" w:ascii="宋体" w:hAnsi="宋体" w:cs="宋体"/>
          <w:sz w:val="24"/>
        </w:rPr>
        <w:t>）。</w:t>
      </w:r>
    </w:p>
    <w:p>
      <w:pPr>
        <w:widowControl/>
        <w:adjustRightInd w:val="0"/>
        <w:snapToGrid w:val="0"/>
        <w:spacing w:line="360" w:lineRule="auto"/>
        <w:ind w:firstLine="480" w:firstLineChars="200"/>
        <w:jc w:val="left"/>
        <w:rPr>
          <w:rFonts w:ascii="宋体" w:hAnsi="宋体" w:cs="宋体"/>
          <w:sz w:val="24"/>
        </w:rPr>
      </w:pPr>
      <w:r>
        <w:rPr>
          <w:rFonts w:ascii="宋体" w:hAnsi="宋体" w:cs="宋体"/>
          <w:sz w:val="24"/>
        </w:rPr>
        <w:t>第十四条</w:t>
      </w:r>
      <w:r>
        <w:rPr>
          <w:rFonts w:hint="eastAsia" w:ascii="宋体" w:hAnsi="宋体" w:cs="宋体"/>
          <w:sz w:val="24"/>
        </w:rPr>
        <w:t xml:space="preserve"> 指导教师和评阅教师应对学生毕业论文质量严格把关，对</w:t>
      </w:r>
      <w:r>
        <w:rPr>
          <w:rFonts w:ascii="宋体" w:hAnsi="宋体" w:cs="宋体"/>
          <w:sz w:val="24"/>
        </w:rPr>
        <w:t>学生进行答辩资格审</w:t>
      </w:r>
      <w:r>
        <w:rPr>
          <w:rFonts w:hint="eastAsia" w:ascii="宋体" w:hAnsi="宋体" w:cs="宋体"/>
          <w:sz w:val="24"/>
        </w:rPr>
        <w:t>查</w:t>
      </w:r>
      <w:r>
        <w:rPr>
          <w:rFonts w:ascii="宋体" w:hAnsi="宋体" w:cs="宋体"/>
          <w:sz w:val="24"/>
        </w:rPr>
        <w:t>。未通过审阅环节者，不得进入评阅环节；未通过评阅环节者，不得进入答辩环节</w:t>
      </w:r>
      <w:r>
        <w:rPr>
          <w:rFonts w:hint="eastAsia" w:ascii="宋体" w:hAnsi="宋体" w:cs="宋体"/>
          <w:sz w:val="24"/>
        </w:rPr>
        <w:t>。</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第十五条 二级学院成立毕业论文答辩委员会。答辩委员会设主席1名，成员为7人以上单数。答辩委员会在二级学院毕业论文工作领导小组领导下开展工作。根据需要可成立若干答辩小组（一般为3~5人），设组长1人。</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第十六条 二级学院答辩委员会职责</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1.按照学校的统一要求，组织本学院答辩工作。</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2.必要时组织并主持院级公开答辩工作。</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3.审定毕业论文答辩成绩。</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第十七条 答辩小组成员应通阅毕业论文的主要内容，设计好答辩时的有关提问。</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第十八条 毕业论文答辩应按程序进行，并做好答辩记录。答辩成绩应当日公布，答辩成绩不合格者，应重新进行答辩。答辩程序为：</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1.答辩委员会主席或答辩小组组长宣布答辩开始；</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2.学生报告毕业论文的主要内容（10分钟以内）；</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3.答辩小组成员提出问题，学生回答问题（10分钟以内）。</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第十九条 学生毕业论文成绩应综合指导教师、评阅教师和答辩小组的意见，各部分构成比例为指导教师评定的成绩占40%、评阅教师评定的成绩占20%、答辩小组评定的成绩占40%，综合成绩按百分制（取整）计分，成绩经答辩委员会核定后向学生公布。</w:t>
      </w:r>
    </w:p>
    <w:p>
      <w:pPr>
        <w:pStyle w:val="7"/>
        <w:adjustRightInd w:val="0"/>
        <w:snapToGrid w:val="0"/>
        <w:spacing w:line="360" w:lineRule="auto"/>
        <w:jc w:val="center"/>
        <w:outlineLvl w:val="0"/>
        <w:rPr>
          <w:rFonts w:hAnsi="宋体"/>
          <w:b/>
          <w:sz w:val="24"/>
          <w:szCs w:val="24"/>
        </w:rPr>
      </w:pPr>
      <w:r>
        <w:rPr>
          <w:rFonts w:hint="eastAsia" w:hAnsi="宋体" w:cs="宋体"/>
          <w:b/>
          <w:sz w:val="24"/>
          <w:szCs w:val="24"/>
        </w:rPr>
        <w:t>第七</w:t>
      </w:r>
      <w:r>
        <w:rPr>
          <w:rFonts w:hint="eastAsia" w:hAnsi="宋体"/>
          <w:b/>
          <w:sz w:val="24"/>
          <w:szCs w:val="24"/>
        </w:rPr>
        <w:t>章</w:t>
      </w:r>
      <w:r>
        <w:rPr>
          <w:rFonts w:hAnsi="宋体"/>
          <w:b/>
          <w:sz w:val="24"/>
          <w:szCs w:val="24"/>
        </w:rPr>
        <w:t xml:space="preserve"> </w:t>
      </w:r>
      <w:r>
        <w:rPr>
          <w:rFonts w:hint="eastAsia" w:hAnsi="宋体"/>
          <w:b/>
          <w:sz w:val="24"/>
          <w:szCs w:val="24"/>
        </w:rPr>
        <w:t>检查和管理</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第二十条 毕业论文的检查以二级学院为主，学校组织专家进行随机抽查。二级学院检查工作围绕毕业论文的各主要环节进行，具体内容如下：</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选题审查：指导教师资格和指导学生人数是否符合要求；题目是否符合选题基本原则；是否按程序进行申报和审定。</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2.开题检查：毕业论文任务书是否科学、规范填写并下达学生；学生是否进行了开题报告，开题报告的质量是否达到要求。</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3.中期检查：毕业</w:t>
      </w:r>
      <w:r>
        <w:rPr>
          <w:rFonts w:ascii="宋体" w:hAnsi="宋体" w:eastAsia="宋体" w:cs="宋体"/>
        </w:rPr>
        <w:t>论文工作</w:t>
      </w:r>
      <w:r>
        <w:rPr>
          <w:rFonts w:hint="eastAsia" w:ascii="宋体" w:hAnsi="宋体" w:eastAsia="宋体" w:cs="宋体"/>
        </w:rPr>
        <w:t>是否按任务书预定的内容及进度安排进行、已经完成的研究工作及结果、后期拟完成的研究工作及进度安排、存在主要问题、如期完成论文工作的可能性，中期检查由学生、指导教师和二级学院共同完成。</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4.答辩检查：学生是否</w:t>
      </w:r>
      <w:r>
        <w:rPr>
          <w:rFonts w:ascii="宋体" w:hAnsi="宋体" w:eastAsia="宋体" w:cs="宋体"/>
        </w:rPr>
        <w:t>符合答辩资格</w:t>
      </w:r>
      <w:r>
        <w:rPr>
          <w:rFonts w:hint="eastAsia" w:ascii="宋体" w:hAnsi="宋体" w:eastAsia="宋体" w:cs="宋体"/>
        </w:rPr>
        <w:t>；答辩工作</w:t>
      </w:r>
      <w:r>
        <w:rPr>
          <w:rFonts w:ascii="宋体" w:hAnsi="宋体" w:eastAsia="宋体" w:cs="宋体"/>
        </w:rPr>
        <w:t>安排是否符合要求</w:t>
      </w:r>
      <w:r>
        <w:rPr>
          <w:rFonts w:hint="eastAsia" w:ascii="宋体" w:hAnsi="宋体" w:eastAsia="宋体" w:cs="宋体"/>
        </w:rPr>
        <w:t>；答辩程序是否规范；学生答辩材料是否完备和规范；成绩评定是否合理等。</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论文复查：毕业论文质量与评定成绩是否匹配；档案管理是否规范。</w:t>
      </w:r>
    </w:p>
    <w:p>
      <w:pPr>
        <w:pStyle w:val="5"/>
        <w:widowControl/>
        <w:tabs>
          <w:tab w:val="left" w:pos="4391"/>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第二十一条 学校每年组织专家对毕业论文进行抽查，</w:t>
      </w:r>
      <w:r>
        <w:rPr>
          <w:rFonts w:ascii="宋体" w:hAnsi="宋体" w:eastAsia="宋体" w:cs="宋体"/>
        </w:rPr>
        <w:t>主要从毕业论文质量</w:t>
      </w:r>
      <w:r>
        <w:rPr>
          <w:rFonts w:hint="eastAsia" w:ascii="宋体" w:hAnsi="宋体" w:eastAsia="宋体" w:cs="宋体"/>
        </w:rPr>
        <w:t>（</w:t>
      </w:r>
      <w:r>
        <w:rPr>
          <w:rFonts w:ascii="宋体" w:hAnsi="宋体" w:eastAsia="宋体" w:cs="宋体"/>
        </w:rPr>
        <w:t>选题、内容、</w:t>
      </w:r>
      <w:r>
        <w:rPr>
          <w:rFonts w:hint="eastAsia" w:ascii="宋体" w:hAnsi="宋体" w:eastAsia="宋体" w:cs="宋体"/>
        </w:rPr>
        <w:t>撰写</w:t>
      </w:r>
      <w:r>
        <w:rPr>
          <w:rFonts w:ascii="宋体" w:hAnsi="宋体" w:eastAsia="宋体" w:cs="宋体"/>
        </w:rPr>
        <w:t>规范、指导过程</w:t>
      </w:r>
      <w:r>
        <w:rPr>
          <w:rFonts w:hint="eastAsia" w:ascii="宋体" w:hAnsi="宋体" w:eastAsia="宋体" w:cs="宋体"/>
        </w:rPr>
        <w:t>）</w:t>
      </w:r>
      <w:r>
        <w:rPr>
          <w:rFonts w:ascii="宋体" w:hAnsi="宋体" w:eastAsia="宋体" w:cs="宋体"/>
        </w:rPr>
        <w:t>和档案管理两方面</w:t>
      </w:r>
      <w:r>
        <w:rPr>
          <w:rFonts w:hint="eastAsia" w:ascii="宋体" w:hAnsi="宋体" w:eastAsia="宋体" w:cs="宋体"/>
        </w:rPr>
        <w:t>进行</w:t>
      </w:r>
      <w:r>
        <w:rPr>
          <w:rFonts w:ascii="宋体" w:hAnsi="宋体" w:eastAsia="宋体" w:cs="宋体"/>
        </w:rPr>
        <w:t>评价</w:t>
      </w:r>
      <w:r>
        <w:rPr>
          <w:rFonts w:hint="eastAsia" w:ascii="宋体" w:hAnsi="宋体" w:eastAsia="宋体" w:cs="宋体"/>
        </w:rPr>
        <w:t>。</w:t>
      </w:r>
    </w:p>
    <w:p>
      <w:pPr>
        <w:pStyle w:val="5"/>
        <w:widowControl/>
        <w:tabs>
          <w:tab w:val="left" w:pos="4425"/>
        </w:tabs>
        <w:overflowPunct w:val="0"/>
        <w:topLinePunct/>
        <w:snapToGrid w:val="0"/>
        <w:spacing w:line="360" w:lineRule="auto"/>
        <w:ind w:firstLine="480" w:firstLineChars="200"/>
        <w:rPr>
          <w:rFonts w:ascii="宋体" w:hAnsi="宋体" w:eastAsia="宋体" w:cs="宋体"/>
        </w:rPr>
      </w:pPr>
      <w:r>
        <w:rPr>
          <w:rFonts w:hint="eastAsia" w:ascii="宋体" w:hAnsi="宋体" w:eastAsia="宋体" w:cs="宋体"/>
        </w:rPr>
        <w:t>第二十二条</w:t>
      </w:r>
      <w:r>
        <w:rPr>
          <w:rFonts w:ascii="宋体" w:hAnsi="宋体" w:eastAsia="宋体" w:cs="宋体"/>
        </w:rPr>
        <w:t xml:space="preserve"> </w:t>
      </w:r>
      <w:r>
        <w:rPr>
          <w:rFonts w:hint="eastAsia" w:ascii="宋体" w:hAnsi="宋体" w:eastAsia="宋体" w:cs="宋体"/>
        </w:rPr>
        <w:t>毕业论文检测结果，重复率应控制在</w:t>
      </w:r>
      <w:r>
        <w:rPr>
          <w:rFonts w:ascii="宋体" w:hAnsi="宋体" w:eastAsia="宋体" w:cs="宋体"/>
        </w:rPr>
        <w:t>30%</w:t>
      </w:r>
      <w:r>
        <w:rPr>
          <w:rFonts w:hint="eastAsia" w:ascii="宋体" w:hAnsi="宋体" w:eastAsia="宋体" w:cs="宋体"/>
        </w:rPr>
        <w:t>以内；若重复率在</w:t>
      </w:r>
      <w:r>
        <w:rPr>
          <w:rFonts w:ascii="宋体" w:hAnsi="宋体" w:eastAsia="宋体" w:cs="宋体"/>
        </w:rPr>
        <w:t>30-50%</w:t>
      </w:r>
      <w:r>
        <w:rPr>
          <w:rFonts w:hint="eastAsia" w:ascii="宋体" w:hAnsi="宋体" w:eastAsia="宋体" w:cs="宋体"/>
        </w:rPr>
        <w:t>内，由学生所在学院请专家组核定，属于正常引用的，专家核定意见书报教务处备案后可准予正常通过；重复率高于</w:t>
      </w:r>
      <w:r>
        <w:rPr>
          <w:rFonts w:ascii="宋体" w:hAnsi="宋体" w:eastAsia="宋体" w:cs="宋体"/>
        </w:rPr>
        <w:t>15%原则上不</w:t>
      </w:r>
      <w:r>
        <w:rPr>
          <w:rFonts w:hint="eastAsia" w:ascii="宋体" w:hAnsi="宋体" w:eastAsia="宋体" w:cs="宋体"/>
        </w:rPr>
        <w:t>推荐参评校级优秀毕业论文。</w:t>
      </w:r>
    </w:p>
    <w:p>
      <w:pPr>
        <w:pStyle w:val="5"/>
        <w:widowControl/>
        <w:tabs>
          <w:tab w:val="left" w:pos="4425"/>
        </w:tabs>
        <w:overflowPunct w:val="0"/>
        <w:topLinePunct/>
        <w:snapToGrid w:val="0"/>
        <w:spacing w:line="360" w:lineRule="auto"/>
        <w:ind w:firstLine="480" w:firstLineChars="200"/>
        <w:rPr>
          <w:rFonts w:ascii="宋体" w:hAnsi="宋体" w:eastAsia="宋体" w:cs="宋体"/>
          <w:b/>
        </w:rPr>
      </w:pPr>
      <w:r>
        <w:rPr>
          <w:rFonts w:hint="eastAsia" w:ascii="宋体" w:hAnsi="宋体" w:eastAsia="宋体" w:cs="宋体"/>
        </w:rPr>
        <w:t>第二十三条 二级学院应切实保证毕业论文工作规范、有序、优质完成。对未获得答辩资格和答辩不合格的学生，应要求学生在限定时间内进行修改并取得答辩资格后，同推迟答辩者参加二次答</w:t>
      </w:r>
      <w:r>
        <w:rPr>
          <w:rFonts w:hint="eastAsia" w:ascii="宋体" w:hAnsi="宋体" w:eastAsia="宋体" w:cs="宋体"/>
          <w:b/>
        </w:rPr>
        <w:t>辩。二次答辩不合格者，应随下一年级重修。</w:t>
      </w:r>
    </w:p>
    <w:p>
      <w:pPr>
        <w:pStyle w:val="10"/>
        <w:adjustRightInd w:val="0"/>
        <w:snapToGrid w:val="0"/>
        <w:spacing w:before="0" w:beforeAutospacing="0" w:after="0" w:afterAutospacing="0" w:line="360" w:lineRule="auto"/>
        <w:jc w:val="center"/>
        <w:outlineLvl w:val="0"/>
        <w:rPr>
          <w:b/>
        </w:rPr>
      </w:pPr>
      <w:r>
        <w:rPr>
          <w:b/>
        </w:rPr>
        <w:t>第八章 评优与奖励</w:t>
      </w:r>
    </w:p>
    <w:p>
      <w:pPr>
        <w:pStyle w:val="7"/>
        <w:adjustRightInd w:val="0"/>
        <w:snapToGrid w:val="0"/>
        <w:spacing w:line="360" w:lineRule="auto"/>
        <w:ind w:firstLine="480" w:firstLineChars="200"/>
        <w:rPr>
          <w:rFonts w:hAnsi="宋体" w:cs="宋体"/>
          <w:b/>
          <w:sz w:val="24"/>
          <w:szCs w:val="24"/>
        </w:rPr>
      </w:pPr>
      <w:r>
        <w:rPr>
          <w:rFonts w:hint="eastAsia" w:hAnsi="宋体" w:cs="宋体"/>
          <w:sz w:val="24"/>
          <w:szCs w:val="24"/>
        </w:rPr>
        <w:t>第二十四条 学校每年组织评选一次“优秀毕业论文”和“优秀指导教师”。具体评优及奖励办法见《内江师范学院优秀毕业论文（设计、创作）和优秀指导教师评选奖励办法》（附件3）。</w:t>
      </w:r>
    </w:p>
    <w:p>
      <w:pPr>
        <w:pStyle w:val="10"/>
        <w:adjustRightInd w:val="0"/>
        <w:snapToGrid w:val="0"/>
        <w:spacing w:before="0" w:beforeAutospacing="0" w:after="0" w:afterAutospacing="0" w:line="360" w:lineRule="auto"/>
        <w:jc w:val="center"/>
        <w:outlineLvl w:val="0"/>
        <w:rPr>
          <w:b/>
        </w:rPr>
      </w:pPr>
      <w:r>
        <w:rPr>
          <w:b/>
        </w:rPr>
        <w:t>第九章 档案管理</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第二十五条 毕业论文答辩结束后，所有毕业论文原件、附件、《内江师范学院本科毕业论文（设计、创作）手册》等，由二级学院负责归档保存。</w:t>
      </w:r>
    </w:p>
    <w:p>
      <w:pPr>
        <w:pStyle w:val="10"/>
        <w:adjustRightInd w:val="0"/>
        <w:snapToGrid w:val="0"/>
        <w:spacing w:before="0" w:beforeAutospacing="0" w:after="0" w:afterAutospacing="0" w:line="360" w:lineRule="auto"/>
        <w:jc w:val="center"/>
        <w:outlineLvl w:val="0"/>
      </w:pPr>
      <w:r>
        <w:t>第十章 附则</w:t>
      </w:r>
    </w:p>
    <w:p>
      <w:pPr>
        <w:pStyle w:val="7"/>
        <w:adjustRightInd w:val="0"/>
        <w:snapToGrid w:val="0"/>
        <w:spacing w:line="360" w:lineRule="auto"/>
        <w:ind w:firstLine="480" w:firstLineChars="200"/>
        <w:rPr>
          <w:rFonts w:hAnsi="宋体" w:cs="宋体"/>
          <w:sz w:val="24"/>
          <w:szCs w:val="24"/>
        </w:rPr>
      </w:pPr>
      <w:r>
        <w:rPr>
          <w:rFonts w:hint="eastAsia" w:hAnsi="宋体" w:cs="宋体"/>
          <w:sz w:val="24"/>
          <w:szCs w:val="24"/>
        </w:rPr>
        <w:t>第二十六条 本办法自公布之日起执行，由教务处负责解释。原《内江师范学院本科毕业论文 (设计)工作管理办法》（内师教发〔2006〕265号）同时废止。</w:t>
      </w:r>
    </w:p>
    <w:p>
      <w:pPr>
        <w:pStyle w:val="7"/>
        <w:adjustRightInd w:val="0"/>
        <w:snapToGrid w:val="0"/>
        <w:spacing w:line="360" w:lineRule="auto"/>
        <w:ind w:left="1380" w:leftChars="200" w:hanging="960" w:hangingChars="400"/>
        <w:rPr>
          <w:rFonts w:hAnsi="宋体" w:cs="宋体"/>
          <w:sz w:val="24"/>
          <w:szCs w:val="24"/>
        </w:rPr>
      </w:pPr>
      <w:r>
        <w:rPr>
          <w:rFonts w:hint="eastAsia" w:hAnsi="宋体" w:cs="宋体"/>
          <w:sz w:val="24"/>
          <w:szCs w:val="24"/>
        </w:rPr>
        <w:t>附件：1.内江师范学院本科毕业论文撰写基本规范</w:t>
      </w:r>
    </w:p>
    <w:p>
      <w:pPr>
        <w:pStyle w:val="7"/>
        <w:adjustRightInd w:val="0"/>
        <w:snapToGrid w:val="0"/>
        <w:spacing w:line="360" w:lineRule="auto"/>
        <w:ind w:firstLine="1200" w:firstLineChars="500"/>
        <w:rPr>
          <w:rFonts w:hAnsi="宋体" w:cs="宋体"/>
          <w:sz w:val="24"/>
          <w:szCs w:val="24"/>
        </w:rPr>
      </w:pPr>
      <w:r>
        <w:rPr>
          <w:rFonts w:hint="eastAsia" w:hAnsi="宋体" w:cs="宋体"/>
          <w:sz w:val="24"/>
          <w:szCs w:val="24"/>
        </w:rPr>
        <w:t>2.内江师范学院本科毕业论文（设计、创作）评价标准</w:t>
      </w:r>
    </w:p>
    <w:p>
      <w:pPr>
        <w:pStyle w:val="7"/>
        <w:adjustRightInd w:val="0"/>
        <w:snapToGrid w:val="0"/>
        <w:spacing w:line="360" w:lineRule="auto"/>
        <w:ind w:firstLine="1200" w:firstLineChars="500"/>
        <w:rPr>
          <w:rFonts w:hAnsi="宋体" w:cs="宋体"/>
          <w:sz w:val="24"/>
          <w:szCs w:val="24"/>
        </w:rPr>
      </w:pPr>
      <w:r>
        <w:rPr>
          <w:rFonts w:hint="eastAsia" w:hAnsi="宋体" w:cs="宋体"/>
          <w:sz w:val="24"/>
          <w:szCs w:val="24"/>
        </w:rPr>
        <w:t>3.内江师范学院优秀毕业论文（设计、创作）和优秀指导教师评选奖励办法</w:t>
      </w:r>
    </w:p>
    <w:p>
      <w:pPr>
        <w:pStyle w:val="7"/>
        <w:adjustRightInd w:val="0"/>
        <w:snapToGrid w:val="0"/>
        <w:spacing w:line="360" w:lineRule="auto"/>
        <w:ind w:firstLine="1200" w:firstLineChars="500"/>
        <w:rPr>
          <w:rFonts w:hAnsi="宋体" w:cs="宋体"/>
          <w:sz w:val="24"/>
          <w:szCs w:val="24"/>
        </w:rPr>
      </w:pPr>
    </w:p>
    <w:p>
      <w:pPr>
        <w:adjustRightInd w:val="0"/>
        <w:snapToGrid w:val="0"/>
        <w:spacing w:line="360" w:lineRule="auto"/>
        <w:ind w:right="480" w:firstLine="7200" w:firstLineChars="3000"/>
        <w:jc w:val="left"/>
        <w:rPr>
          <w:rFonts w:ascii="仿宋_GB2312" w:hAnsi="宋体" w:eastAsia="仿宋_GB2312" w:cs="宋体"/>
          <w:sz w:val="28"/>
          <w:szCs w:val="28"/>
        </w:rPr>
      </w:pPr>
      <w:r>
        <w:rPr>
          <w:rFonts w:hint="eastAsia" w:ascii="宋体" w:hAnsi="宋体" w:cs="宋体"/>
          <w:sz w:val="24"/>
        </w:rPr>
        <w:t>2018年5月2日</w:t>
      </w:r>
      <w:r>
        <w:rPr>
          <w:rFonts w:ascii="宋体" w:hAnsi="宋体" w:cs="宋体"/>
          <w:sz w:val="24"/>
        </w:rPr>
        <w:br w:type="page"/>
      </w:r>
      <w:r>
        <w:rPr>
          <w:rFonts w:ascii="宋体" w:hAnsi="宋体" w:cs="宋体"/>
          <w:b/>
          <w:sz w:val="28"/>
          <w:szCs w:val="28"/>
        </w:rPr>
        <w:t>附件</w:t>
      </w:r>
      <w:r>
        <w:rPr>
          <w:rFonts w:hint="eastAsia" w:ascii="宋体" w:hAnsi="宋体" w:cs="宋体"/>
          <w:b/>
          <w:sz w:val="28"/>
          <w:szCs w:val="28"/>
        </w:rPr>
        <w:t>1</w:t>
      </w:r>
    </w:p>
    <w:p>
      <w:pPr>
        <w:pStyle w:val="7"/>
        <w:adjustRightInd w:val="0"/>
        <w:snapToGrid w:val="0"/>
        <w:spacing w:before="156" w:beforeLines="50" w:after="156" w:afterLines="50" w:line="440" w:lineRule="exact"/>
        <w:jc w:val="center"/>
        <w:outlineLvl w:val="0"/>
        <w:rPr>
          <w:rFonts w:ascii="方正小标宋简体" w:hAnsi="Times New Roman" w:eastAsia="方正小标宋简体" w:cs="宋体"/>
          <w:b/>
          <w:sz w:val="32"/>
          <w:szCs w:val="32"/>
        </w:rPr>
      </w:pPr>
      <w:r>
        <w:rPr>
          <w:rFonts w:hint="eastAsia" w:ascii="方正小标宋简体" w:hAnsi="Times New Roman" w:eastAsia="方正小标宋简体" w:cs="宋体"/>
          <w:b/>
          <w:sz w:val="32"/>
          <w:szCs w:val="32"/>
        </w:rPr>
        <w:t>内江师范学院本科毕业论文撰写基本规范</w:t>
      </w:r>
    </w:p>
    <w:p>
      <w:pPr>
        <w:pStyle w:val="7"/>
        <w:adjustRightInd w:val="0"/>
        <w:snapToGrid w:val="0"/>
        <w:spacing w:before="156" w:beforeLines="50" w:after="156" w:afterLines="50" w:line="440" w:lineRule="exact"/>
        <w:jc w:val="center"/>
        <w:outlineLvl w:val="0"/>
        <w:rPr>
          <w:rFonts w:ascii="方正小标宋简体" w:hAnsi="Times New Roman" w:eastAsia="方正小标宋简体" w:cs="宋体"/>
          <w:b/>
          <w:sz w:val="28"/>
          <w:szCs w:val="28"/>
        </w:rPr>
      </w:pP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为了统一和规范学校本科毕业论文的写作，保证本科毕业论文的质量，根据《中华人民共和国国家标准科学技术报告、学位论文和学术论文的编写格式》（国家标准GB7713-87）等有关规定，特制定本规范。</w:t>
      </w:r>
    </w:p>
    <w:p>
      <w:pPr>
        <w:pStyle w:val="7"/>
        <w:adjustRightInd w:val="0"/>
        <w:snapToGrid w:val="0"/>
        <w:spacing w:before="156" w:beforeLines="50" w:after="156" w:afterLines="50" w:line="300" w:lineRule="auto"/>
        <w:ind w:firstLine="562" w:firstLineChars="200"/>
        <w:outlineLvl w:val="0"/>
        <w:rPr>
          <w:rFonts w:ascii="仿宋_GB2312" w:hAnsi="Times New Roman" w:eastAsia="仿宋_GB2312" w:cs="宋体"/>
          <w:b/>
          <w:sz w:val="28"/>
          <w:szCs w:val="28"/>
        </w:rPr>
      </w:pPr>
      <w:r>
        <w:rPr>
          <w:rFonts w:hint="eastAsia" w:ascii="仿宋_GB2312" w:hAnsi="Times New Roman" w:eastAsia="仿宋_GB2312" w:cs="宋体"/>
          <w:b/>
          <w:sz w:val="28"/>
          <w:szCs w:val="28"/>
        </w:rPr>
        <w:t>一、毕业论文的构成</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本科生毕业论文由封面、题目、摘要（设计（创作）总说明）、关键词、目录、正文（绪论、主体、结论）、参考文献、附录、致谢等几部分构成。</w:t>
      </w:r>
    </w:p>
    <w:p>
      <w:pPr>
        <w:pStyle w:val="7"/>
        <w:adjustRightInd w:val="0"/>
        <w:snapToGrid w:val="0"/>
        <w:spacing w:before="156" w:beforeLines="50" w:after="156" w:afterLines="50" w:line="300" w:lineRule="auto"/>
        <w:ind w:firstLine="562" w:firstLineChars="200"/>
        <w:outlineLvl w:val="0"/>
        <w:rPr>
          <w:rFonts w:ascii="仿宋_GB2312" w:hAnsi="Times New Roman" w:eastAsia="仿宋_GB2312" w:cs="宋体"/>
          <w:b/>
          <w:sz w:val="28"/>
          <w:szCs w:val="28"/>
        </w:rPr>
      </w:pPr>
      <w:r>
        <w:rPr>
          <w:rFonts w:hint="eastAsia" w:ascii="仿宋_GB2312" w:hAnsi="Times New Roman" w:eastAsia="仿宋_GB2312" w:cs="宋体"/>
          <w:b/>
          <w:sz w:val="28"/>
          <w:szCs w:val="28"/>
        </w:rPr>
        <w:t>二、毕业论文各组成部分的内容要求</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（一）毕业论文内容的基本要求</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 封面</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封面主要内容包括，“内江师范学院本科毕业论文（设计、创作）”字样、题目、专业、指导教师、学生姓名、年级、学号、日期等，由学校统一印制、装袋。</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2. 题目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题目应该简短、明确、有概括性。标题字数应适当，不宜超过20个字，如果有些细节必须放进标题，可以分成主标题和副标题。</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3. 论文摘要或设计（创作）总说明</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摘要应该是对全文内容的高度概括，反映毕业论文的内容、方法、结果和结论，不能过于简略，应语句通顺，文字流畅。摘要中不宜使用公式、图表，不标注引用文献编号。中文摘要以300</w:t>
      </w:r>
      <w:r>
        <w:rPr>
          <w:rFonts w:hint="eastAsia" w:ascii="仿宋_GB2312" w:eastAsia="仿宋_GB2312" w:cs="宋体"/>
          <w:sz w:val="28"/>
          <w:szCs w:val="28"/>
        </w:rPr>
        <w:sym w:font="Symbol" w:char="F07E"/>
      </w:r>
      <w:r>
        <w:rPr>
          <w:rFonts w:hint="eastAsia" w:ascii="仿宋_GB2312" w:eastAsia="仿宋_GB2312" w:cs="宋体"/>
          <w:sz w:val="28"/>
          <w:szCs w:val="28"/>
        </w:rPr>
        <w:t>500字为宜，英文摘要应与中文摘要一致，并要符合英语语法，无语言错误，语句通顺，文字表达自然流畅。外语专业论文的摘要不少于200个单词。</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设计（创作）总说明主要介绍设计任务来源、设计标准、设计原则及主要技术资料，中文字数在1500～2000字左右，外文字数以1000个左右实词为宜。</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4. 关键词</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关键词是供检索用的主题词条，应采用能覆盖论文（设计、创作）主要内容的通用词条。关键词一般为3～5个，按词条的外延层次排列，外延大的排在前面。英文的关键词应与中文关键词一致。关键词之间用分号隔开，最后一个关键词后不打标点符号。</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5. 正文</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毕业论文(设计、创作)正文应另起一页，主要内容包括：</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（1)前言或选题背景：说明本题目的来源、目的、意义、应解决的主要问题及应达到的技术要求；简述本题目在国内外研究概况及存在的问题，本题目设计的指导思想等。</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（2)方案论证：说明题目设计的原理并进行方案选择，阐明为什么要选择这个方案（包括各种方案的分析、比较）以及所采用方案的特点。</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（3)过程(设计或实验)论述：指作者对自己的研究工作的详细表述。要求论理正确、论据确凿、逻辑性强、层次分明、表达确切。</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4）结果：是对研究过程中所获得的主要数据或观测结果加以描述或解释。可用文字描述，也可用图表来表达。能用文字说明的问题就尽量不用图和表；用图和表，文中就不重复数据，而只强调发现。结果应如实、具体、准确。</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5）讨论：是对研究过程中所获得的主要数据、现象进行定性或定量分析，把实验结果提高到理性高度，进行理论阐述，透过现象发现规律的过程。讨论应尽量阐述结果揭示的原理、联系和普遍性以及你所做的工作的理论意义和任何可能的实用价值。</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（6)结论：对整个研究工作进行归纳和综合，阐述本题目研究中尚存在的问题及进一步开展研究的见解和建议。结论应写得概括、简短。</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6. 参考文献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参考文献是毕业论文(设计、创作)不可缺少的组成部分，它反映毕业论文(设计、创作)的取材来源、材料的广博程度和材料的可靠程度，也是作者对他人知识成果的承认和尊重。凡有直接引用他人成果之处，均应进行标注，并按引文在正文中出现的先后顺序列于参考文献中。一篇论著在论文中多处直接引用时，在参考文献中只应出现一次，应将标注序号归并到一起集中列出。仅参考但未直接引用的与毕业论文选题有关的著作和论文也应在参考文献中列出，排于直接引用的参考文献之后，并连续编序号。</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一份完整的参考文献可向读者提供一份有价值的信息资料。毕业论文一般应列入8篇以上主要参考文献。除特殊专业的毕业论文外，原则上均应列入2篇以上的外文参考文献。</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7. 附录</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凡不宜收入正文中的，但有参考价值的内容，可编入毕业论文的附录中，例如公式的推演、编写的程序、元器件清单等；在文章中引用的符号较多时，为便于读者查阅，可以编写一个符号说明，注明符号代表的意义。一般附录的篇幅不宜过大，若附录篇幅超过正文，会让人产生头轻脚重的感觉。</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8. 致谢</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致谢是指以简短的文字对在题目研究和论文撰写过程中曾直接或间接给予帮助的人员（例如指导教师及其他人员）表示自己的谢意，这不仅是一种礼貌，也是对他人劳动的尊重，是治学者应有的思想道德规范。</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（二）毕业论文写作细则的基本要求</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 汉字</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必须使用国家公布的规范字。</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2. 标点符号</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毕业论文中的标点符号应按照国家新闻出版署公布的“标点符号用法”使用。</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3. 名词、名称</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科学技术名词术语应尽量采用全国自然科学名词审定委员会公布的规范词或国家标准、部标准中规定的名称，尚未统一规定或有争议的名称术语，可采用惯用的名称。使用外文缩写代替某一名词术语时，首次出现时应在括号内注明其含义。外国人名一般采用英文原名，按名前姓后的原则书写。很熟知的外国人名（如牛顿、达尔文、马克思等）可按通常标准译法写译名。</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4. 量和单位</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量和单位必须采用中华人民共和国的国家标准GB3100～GB3102-93，它是以国际单位制（SI）为基础的。非物理量的单位，如件、台、人、元等，可用汉字与符号构成组合形式的单位，例如件/台、元/km。</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5. 数字</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毕业论文中的测量统计数据一律用阿拉伯数字，但在叙述不很大的数目时，一般不用阿拉伯数字。大约的数字可以用中文数字，也可以用阿拉伯数字。年份一概写全数，不能简写，如2018年不能写成18年。</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6. 标题层次</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毕业论文的全部标题层次应有条不紊，整齐清晰。相同的层次应采用统一的表示体例，正文中各级标题下的内容应同各自的标题对应，不应有与标题无关的内容。</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编号方法应采用分级编号方法：第一级为“1”、“2”、“3”、……等；第二级为“1.1”、“1.2”、“1.3”……，“2.1”、“2.2”、“2.3”……等；第三级为“1.1.1”、“1.1.2”、“1.1.3”……，“1.2.1”、“1.2.2”、“1.2.3”……等。</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各层标题均单独占行、顶格书写，各层编号与标题之间空一个字符，末尾不加标点。第一级标题使用四号黑体（不加粗），段前段后间距0.5行；第二级标题使用小四号黑体（不加粗），段前段后间距0行，第三级标题使用小四号黑体（不加粗），段前段后间距0行。</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7. 公式</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公式应居中书写，公式的编号用圆括号括起放在公式右边行末，公式和编号之间不加虚线。</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8. 表格</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每个表格应有自己的表序和表题，表序和表题应写在表格上方正中，表序后空一格书写表题。表格允许下页接写，表题可省略，表头应重复写，并在该页右上方写“续表××”。表格统一使用三线表；表中数据应正确无误，书写清楚。数字空缺的格内加“-”字线(占2个数字)；表内文字一律用五号仿宋体。</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9. 图</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毕业论文的插图应与文字紧密配合，文图相符，内容正确。选图应力求精练。</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（1）制图标准</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插图应符合国家标准及专业标准。</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机械工程图：采用第一角投射法，严格按照GB4457～4460-84，GB131-83《机械制图》标准规定。</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电气图：图形符号、文字符号等应符合有关标准的规定。</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流程图：原则上应采用结构化程序并正确运用流程框图。</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对无规定符号的图形应采用该行业的常用画法。</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（2）图题及图中说明</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每幅插图均应有图题(由图号和图名组成)。图题置于图下，用五号宋体。有图注或其他说明时应置于图题之上，用五号仿宋体。图名在图号之后空一格排写。引用图应说明出处，在图题右上角加引用文献号。图中各部分说明应采用中文(引用的外文图除外)或数字项号，各项文字说明置于图题之上。</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（3）插图编排</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插图与其图题为一个整体，不得拆开排写于两页。插图处的该页空白不够排写该图整体时，可将其后文字部分提前排写，将图移至次页最前面。</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（4）论文原件中照片图及插图</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毕业论文原件中的照片图应用计算机绘制，或直接用数码相机拍照，或原版照片粘贴，不得采用复印方式。照片可为黑白或彩色，应主题突出、层次分明、清晰整洁、反差适中。</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（5）坐标与坐标单位</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对坐标轴应该进行说明，有数字标注的坐标图，应该注明坐标单位。</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10. 外文字母的正、斜体用法</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物理量符号、物理常量、变量符号用斜体，计量单位等符号均用正体。</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11. 注释</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毕业论文中有个别名词或情况需要解释时，可加注说明。注释一律用页末注，即将注文放在加注页稿纸的下端，而不用行中注(夹在正文中的注)和篇末注(将全部注文集中在文章末尾)。若在同一页中有两个以上的注时，按各注出现的先后，应按序编列注号。注释的注号左顶格，并用数字加圆表示（如①，②，…），应与正文中的指示序号和格式一致。注释只限于写在注释符号出现的同页，不得隔页。</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12. 参考文献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参考文献的著录均应符合国家有关标准（按GB/T7714-2005《文后参考文献著录格式》执行）。参考文献的序号左顶格，并用数字加方括号表示，如[1]，[2]，[3]，…，应与正文中的指示序号和格式一致。每一参考文献条目的最后均以“·”结束。一篇论著在论文中多处引用时，在参考文献中只应出现一次，序号以第一次出现的为准，应将序号归并到一起集中列出。不得将参考文献标示置于正文中的各级标题处。各类参考文献条目的编排格式及示例如下：</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（1）连续出版物</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[序号]主要作者（不超过三位）．文献题名[J]．刊名，出版年份，卷号(期号)：起止页码．</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例如：[1]毛峡，丁玉宽．图像的情感特征分析及其和谐感评价[J]．电子学报，2001，29(12A)：1923-1927．</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[2]MaoXia,LiMing,HuXiao-pinge,eta1．AffectivePropertyofImageandFractalDimension[J]．Chaos，Solitons&amp;Fractals．U．K．，2003：V15905—910．</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（2）专著</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[序号]主要作者．文献题名[M]．出版地：出版者，出版年：起止页码．</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例如：[3]刘国钧，王连成．图书馆史研究[M]．北京：高等教育出版社，1979：15-18，31．</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[4]T·Parsons,TheSocialSystem,NewYork:FreePress,1961：P36-45.</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（3）会议论文集</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[序号]主要作者．文献题名[A]主编．论文集名[C]．出版地：出版者，出版年：起止页码．</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例如：[5]毛峡．绘画的音乐表现[A]．中国人工智能学会2001年全国学术年会论文集[C]．北京：北京邮电大学出版社，2001：739—740．</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（4）学位论文</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[序号]主要作者．文献题名[D]．保存地：保存单位，年份．</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例如：[6]张和生．地质力学系统理论[D]．太原：太原理工大学，1998．</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（5）报告</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[序号]主要作者．文献题名[R]．报告地：报告会主办单位，年份．</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例如：[7]冯西桥．核反应堆压力容器的LBB分析[R]．北京：清华大学核能技术设计研究院，1997．</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（6）专利文献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[序号]专利所有者．专利题名[P]．专利国别：专利号，发布日期．</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例如：[8]姜锡洲．一种温热外敷药制备方案[P]．中国专利：881056078，1983-08-12．</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（7）国际、国家标准</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[序号]标准代号，标准名称[S]．出版地：出版者，出版年．</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例如：[9]GB／T16159—1996，汉语拼音正词法基本规则[S]．北京：中国标准出版社，1996．</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（8）报纸文章</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[序号]主要作者．文献题名[N]．报纸名，出版日期(版次)．</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例如：[10]毛峡．情感工学破解‘舒服’之迷[N]．光明日报，2000-4-17(BI)．</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（9）电子文献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[序号]主要作者．电子文献题名[文献类型／载体类型]．电子文献的出版或可获得地址，发表或更新日期／引用日期(任选)．</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例如：[11]王明亮．中国学术期刊标准化数据库系统工程的[DB／OL]．</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http://www.cajcd.cn/pub/wml.txt/980810-2.html,1998-08-16/1998-10-04.</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外国作者的姓名书写格式一般为：名缩写.姓。例如A.Johnson,R.O.Duda</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引用参考文献类型及其标识说明如下：</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根据GB3469规定，以单字母方式标识以下各种参数文献类型，如下表：</w:t>
      </w:r>
    </w:p>
    <w:p>
      <w:pPr>
        <w:adjustRightInd w:val="0"/>
        <w:snapToGrid w:val="0"/>
        <w:spacing w:line="440" w:lineRule="exact"/>
        <w:ind w:firstLine="560" w:firstLineChars="200"/>
        <w:jc w:val="center"/>
        <w:rPr>
          <w:rFonts w:ascii="仿宋_GB2312" w:eastAsia="仿宋_GB2312" w:cs="宋体"/>
          <w:sz w:val="28"/>
          <w:szCs w:val="28"/>
        </w:rPr>
      </w:pPr>
      <w:r>
        <w:rPr>
          <w:rFonts w:hint="eastAsia" w:ascii="仿宋_GB2312" w:eastAsia="仿宋_GB2312" w:cs="宋体"/>
          <w:sz w:val="28"/>
          <w:szCs w:val="28"/>
        </w:rPr>
        <w:t>参数文献的标识</w:t>
      </w:r>
    </w:p>
    <w:tbl>
      <w:tblPr>
        <w:tblStyle w:val="15"/>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380"/>
        <w:gridCol w:w="1112"/>
        <w:gridCol w:w="884"/>
        <w:gridCol w:w="1134"/>
        <w:gridCol w:w="1701"/>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443"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文献类型</w:t>
            </w:r>
          </w:p>
        </w:tc>
        <w:tc>
          <w:tcPr>
            <w:tcW w:w="1380"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普通图书</w:t>
            </w:r>
          </w:p>
        </w:tc>
        <w:tc>
          <w:tcPr>
            <w:tcW w:w="1112"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会议录</w:t>
            </w:r>
          </w:p>
        </w:tc>
        <w:tc>
          <w:tcPr>
            <w:tcW w:w="88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汇编</w:t>
            </w:r>
          </w:p>
        </w:tc>
        <w:tc>
          <w:tcPr>
            <w:tcW w:w="113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报纸</w:t>
            </w:r>
          </w:p>
        </w:tc>
        <w:tc>
          <w:tcPr>
            <w:tcW w:w="1701"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期刊</w:t>
            </w:r>
          </w:p>
        </w:tc>
        <w:tc>
          <w:tcPr>
            <w:tcW w:w="1348"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学位论文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43"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标志代码</w:t>
            </w:r>
          </w:p>
        </w:tc>
        <w:tc>
          <w:tcPr>
            <w:tcW w:w="1380"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M</w:t>
            </w:r>
          </w:p>
        </w:tc>
        <w:tc>
          <w:tcPr>
            <w:tcW w:w="1112"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C</w:t>
            </w:r>
          </w:p>
        </w:tc>
        <w:tc>
          <w:tcPr>
            <w:tcW w:w="884"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G</w:t>
            </w:r>
          </w:p>
        </w:tc>
        <w:tc>
          <w:tcPr>
            <w:tcW w:w="1134"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N</w:t>
            </w:r>
          </w:p>
        </w:tc>
        <w:tc>
          <w:tcPr>
            <w:tcW w:w="1701"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J</w:t>
            </w:r>
          </w:p>
        </w:tc>
        <w:tc>
          <w:tcPr>
            <w:tcW w:w="1348" w:type="dxa"/>
            <w:vAlign w:val="bottom"/>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443"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文献类型</w:t>
            </w:r>
          </w:p>
        </w:tc>
        <w:tc>
          <w:tcPr>
            <w:tcW w:w="1380"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报告</w:t>
            </w:r>
          </w:p>
        </w:tc>
        <w:tc>
          <w:tcPr>
            <w:tcW w:w="1112"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标准</w:t>
            </w:r>
          </w:p>
        </w:tc>
        <w:tc>
          <w:tcPr>
            <w:tcW w:w="88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专利</w:t>
            </w:r>
          </w:p>
        </w:tc>
        <w:tc>
          <w:tcPr>
            <w:tcW w:w="113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数据库</w:t>
            </w:r>
          </w:p>
        </w:tc>
        <w:tc>
          <w:tcPr>
            <w:tcW w:w="1701"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计算机程序</w:t>
            </w:r>
          </w:p>
        </w:tc>
        <w:tc>
          <w:tcPr>
            <w:tcW w:w="1348"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43"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标志代码</w:t>
            </w:r>
          </w:p>
        </w:tc>
        <w:tc>
          <w:tcPr>
            <w:tcW w:w="1380"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R</w:t>
            </w:r>
          </w:p>
        </w:tc>
        <w:tc>
          <w:tcPr>
            <w:tcW w:w="1112"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S</w:t>
            </w:r>
          </w:p>
        </w:tc>
        <w:tc>
          <w:tcPr>
            <w:tcW w:w="88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P</w:t>
            </w:r>
          </w:p>
        </w:tc>
        <w:tc>
          <w:tcPr>
            <w:tcW w:w="113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DB</w:t>
            </w:r>
          </w:p>
        </w:tc>
        <w:tc>
          <w:tcPr>
            <w:tcW w:w="1701"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CP</w:t>
            </w:r>
          </w:p>
        </w:tc>
        <w:tc>
          <w:tcPr>
            <w:tcW w:w="1348"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EB</w:t>
            </w:r>
          </w:p>
        </w:tc>
      </w:tr>
    </w:tbl>
    <w:p>
      <w:pPr>
        <w:adjustRightInd w:val="0"/>
        <w:snapToGrid w:val="0"/>
        <w:spacing w:line="440" w:lineRule="exact"/>
        <w:ind w:firstLine="560" w:firstLineChars="200"/>
        <w:jc w:val="center"/>
        <w:rPr>
          <w:rFonts w:ascii="仿宋_GB2312" w:eastAsia="仿宋_GB2312" w:cs="宋体"/>
          <w:sz w:val="28"/>
          <w:szCs w:val="28"/>
        </w:rPr>
      </w:pPr>
    </w:p>
    <w:p>
      <w:pPr>
        <w:adjustRightInd w:val="0"/>
        <w:snapToGrid w:val="0"/>
        <w:spacing w:line="440" w:lineRule="exact"/>
        <w:ind w:firstLine="560" w:firstLineChars="200"/>
        <w:jc w:val="center"/>
        <w:rPr>
          <w:rFonts w:ascii="仿宋_GB2312" w:eastAsia="仿宋_GB2312" w:cs="宋体"/>
          <w:sz w:val="28"/>
          <w:szCs w:val="28"/>
        </w:rPr>
      </w:pPr>
      <w:r>
        <w:rPr>
          <w:rFonts w:hint="eastAsia" w:ascii="仿宋_GB2312" w:eastAsia="仿宋_GB2312" w:cs="宋体"/>
          <w:sz w:val="28"/>
          <w:szCs w:val="28"/>
        </w:rPr>
        <w:t>电子文献的标识</w:t>
      </w:r>
    </w:p>
    <w:tbl>
      <w:tblPr>
        <w:tblStyle w:val="15"/>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54"/>
        <w:gridCol w:w="1752"/>
        <w:gridCol w:w="175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893"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载体类型</w:t>
            </w:r>
          </w:p>
        </w:tc>
        <w:tc>
          <w:tcPr>
            <w:tcW w:w="175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磁带</w:t>
            </w:r>
          </w:p>
        </w:tc>
        <w:tc>
          <w:tcPr>
            <w:tcW w:w="1752"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磁盘</w:t>
            </w:r>
          </w:p>
        </w:tc>
        <w:tc>
          <w:tcPr>
            <w:tcW w:w="175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光盘</w:t>
            </w:r>
          </w:p>
        </w:tc>
        <w:tc>
          <w:tcPr>
            <w:tcW w:w="1830"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联机网络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893"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标志代码</w:t>
            </w:r>
          </w:p>
        </w:tc>
        <w:tc>
          <w:tcPr>
            <w:tcW w:w="175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MT</w:t>
            </w:r>
          </w:p>
        </w:tc>
        <w:tc>
          <w:tcPr>
            <w:tcW w:w="1752"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DK</w:t>
            </w:r>
          </w:p>
        </w:tc>
        <w:tc>
          <w:tcPr>
            <w:tcW w:w="1754"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CD</w:t>
            </w:r>
          </w:p>
        </w:tc>
        <w:tc>
          <w:tcPr>
            <w:tcW w:w="1830" w:type="dxa"/>
            <w:vAlign w:val="center"/>
          </w:tcPr>
          <w:p>
            <w:pPr>
              <w:adjustRightInd w:val="0"/>
              <w:snapToGrid w:val="0"/>
              <w:spacing w:line="440" w:lineRule="exact"/>
              <w:jc w:val="center"/>
              <w:rPr>
                <w:rFonts w:ascii="仿宋_GB2312" w:eastAsia="仿宋_GB2312" w:cs="宋体"/>
                <w:sz w:val="28"/>
                <w:szCs w:val="28"/>
              </w:rPr>
            </w:pPr>
            <w:r>
              <w:rPr>
                <w:rFonts w:hint="eastAsia" w:ascii="仿宋_GB2312" w:eastAsia="仿宋_GB2312" w:cs="宋体"/>
                <w:sz w:val="28"/>
                <w:szCs w:val="28"/>
              </w:rPr>
              <w:t>OL</w:t>
            </w:r>
          </w:p>
        </w:tc>
      </w:tr>
    </w:tbl>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关于参考文献的未尽事项可参见国家标准《文后参考文献著录规则》(GB7714—2005)。</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（三）资料要求</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计算机、工科专业软件题目应附学生参与编制的软件开发有关文档、软硬件资料（如设计说明书、使用说明书、测试分析报告等）和有效的程序光盘，并作为毕业设计的资料，同论文、毕业设计手册、译文一起存档；硬件类题目对于设计作品、测试数据应有必要的记录、图片等支撑材料。艺术类专业的设计或创作题目应附学生设计或创作的作品相关文档和有效的作品光盘，并作为毕业论文（设计、创作）的资料。</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（四）论文书写和字数要求</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毕业论文统一由学生本人用计算机排版、打印。《毕业论文（设计、创作）手册》所有表格应按要求认真填写，字体工整，卷面整洁，手写一律用黑或蓝黑墨水。字数原则上不少于0.6万字（理工科不少于0.5万字，外语专业全外文的论文，不少于0.4万单词）。</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（五）论文格式要求</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1. 摘要</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中文的“摘要”与“关键词”几个标示字为小四号黑体（不加粗）；英文的“摘要”与“关键词”几个标示字为小四号TimesNewRoman体（加粗）。中文摘要内容与具体的关键词为小四号仿宋体（不加粗）；英文摘要内容与具体的关键词为小四号TimesNewRoman体（不加粗）。</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2. 论文正文</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第一层次（章）题序和标题用四号黑体字（不加粗）</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第二层次（节）题序和标题用小四号黑体字（不加粗）</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第三层次（条）题序和标题用小四号黑体字（不加粗）（以下层次格式相同）</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正文用宋体小四号（英文采用小四号“TimeNewRoman”字型）。</w:t>
      </w:r>
    </w:p>
    <w:p>
      <w:pPr>
        <w:pStyle w:val="7"/>
        <w:adjustRightInd w:val="0"/>
        <w:snapToGrid w:val="0"/>
        <w:spacing w:line="300" w:lineRule="auto"/>
        <w:ind w:firstLine="560" w:firstLineChars="200"/>
        <w:outlineLvl w:val="2"/>
        <w:rPr>
          <w:rFonts w:ascii="仿宋_GB2312" w:hAnsi="Times New Roman" w:eastAsia="仿宋_GB2312" w:cs="宋体"/>
          <w:sz w:val="28"/>
          <w:szCs w:val="28"/>
        </w:rPr>
      </w:pPr>
      <w:r>
        <w:rPr>
          <w:rFonts w:hint="eastAsia" w:ascii="仿宋_GB2312" w:hAnsi="Times New Roman" w:eastAsia="仿宋_GB2312" w:cs="宋体"/>
          <w:sz w:val="28"/>
          <w:szCs w:val="28"/>
        </w:rPr>
        <w:t>3. 论文页面设置</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页边距：上2.2cm，下1.8cm，左2.5cm，右2.3cm，页眉1.2cm，页脚1.5cm。</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页眉以小五号宋体字键入“内江师范学院本科毕业论文（设计、创作）”，顶左侧。</w:t>
      </w:r>
    </w:p>
    <w:p>
      <w:pPr>
        <w:adjustRightInd w:val="0"/>
        <w:snapToGrid w:val="0"/>
        <w:spacing w:line="300" w:lineRule="auto"/>
        <w:ind w:firstLine="560" w:firstLineChars="200"/>
        <w:rPr>
          <w:rFonts w:ascii="仿宋_GB2312" w:eastAsia="仿宋_GB2312" w:cs="宋体"/>
          <w:sz w:val="28"/>
          <w:szCs w:val="28"/>
        </w:rPr>
      </w:pPr>
      <w:r>
        <w:rPr>
          <w:rFonts w:hint="eastAsia" w:ascii="仿宋_GB2312" w:eastAsia="仿宋_GB2312" w:cs="宋体"/>
          <w:sz w:val="28"/>
          <w:szCs w:val="28"/>
        </w:rPr>
        <w:t>页脚插入页码，居中。摘要、关键词、目录等文前部分的页码用罗马数字（</w:t>
      </w:r>
      <w:r>
        <w:rPr>
          <w:rFonts w:hint="eastAsia" w:ascii="仿宋_GB2312" w:hAnsi="宋体" w:eastAsia="仿宋_GB2312" w:cs="宋体"/>
          <w:sz w:val="28"/>
          <w:szCs w:val="28"/>
        </w:rPr>
        <w:t>Ⅰ</w:t>
      </w:r>
      <w:r>
        <w:rPr>
          <w:rFonts w:hint="eastAsia" w:ascii="仿宋_GB2312" w:eastAsia="仿宋_GB2312" w:cs="宋体"/>
          <w:sz w:val="28"/>
          <w:szCs w:val="28"/>
        </w:rPr>
        <w:t>、</w:t>
      </w:r>
      <w:r>
        <w:rPr>
          <w:rFonts w:hint="eastAsia" w:ascii="仿宋_GB2312" w:hAnsi="宋体" w:eastAsia="仿宋_GB2312" w:cs="宋体"/>
          <w:sz w:val="28"/>
          <w:szCs w:val="28"/>
        </w:rPr>
        <w:t>Ⅱ</w:t>
      </w:r>
      <w:r>
        <w:rPr>
          <w:rFonts w:hint="eastAsia" w:ascii="仿宋_GB2312" w:eastAsia="仿宋_GB2312"/>
          <w:sz w:val="28"/>
          <w:szCs w:val="28"/>
        </w:rPr>
        <w:t>……</w:t>
      </w:r>
      <w:r>
        <w:rPr>
          <w:rFonts w:hint="eastAsia" w:ascii="仿宋_GB2312" w:eastAsia="仿宋_GB2312" w:cs="宋体"/>
          <w:sz w:val="28"/>
          <w:szCs w:val="28"/>
        </w:rPr>
        <w:t>）连续编排，正文以后的页码用阿拉伯数字（1、2……）连续编排。</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正文选择格式段落为：固定值，行间距为22磅（可根据页面情况在20</w:t>
      </w:r>
      <w:r>
        <w:rPr>
          <w:rFonts w:hint="eastAsia" w:ascii="仿宋_GB2312" w:hAnsi="Times New Roman" w:eastAsia="仿宋_GB2312" w:cs="宋体"/>
          <w:sz w:val="28"/>
          <w:szCs w:val="28"/>
        </w:rPr>
        <w:sym w:font="Symbol" w:char="F07E"/>
      </w:r>
      <w:r>
        <w:rPr>
          <w:rFonts w:hint="eastAsia" w:ascii="仿宋_GB2312" w:hAnsi="Times New Roman" w:eastAsia="仿宋_GB2312" w:cs="宋体"/>
          <w:sz w:val="28"/>
          <w:szCs w:val="28"/>
        </w:rPr>
        <w:t>24范围内适当调整），段前段后均为0磅。</w:t>
      </w:r>
    </w:p>
    <w:p>
      <w:pPr>
        <w:pStyle w:val="7"/>
        <w:adjustRightInd w:val="0"/>
        <w:snapToGrid w:val="0"/>
        <w:spacing w:line="300" w:lineRule="auto"/>
        <w:ind w:firstLine="560" w:firstLineChars="200"/>
        <w:outlineLvl w:val="1"/>
        <w:rPr>
          <w:rFonts w:ascii="仿宋_GB2312" w:hAnsi="Times New Roman" w:eastAsia="仿宋_GB2312" w:cs="宋体"/>
          <w:sz w:val="28"/>
          <w:szCs w:val="28"/>
        </w:rPr>
      </w:pPr>
      <w:r>
        <w:rPr>
          <w:rFonts w:hint="eastAsia" w:ascii="仿宋_GB2312" w:hAnsi="Times New Roman" w:eastAsia="仿宋_GB2312" w:cs="宋体"/>
          <w:sz w:val="28"/>
          <w:szCs w:val="28"/>
        </w:rPr>
        <w:t>（六）毕业论文装订顺序</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1）封面；（2）诚信说明书（3）目录；（4）中文摘要、英文摘要（合页打印）；（5）论文正文；（6）参考文献；（7）符号说明；（8）附录：有关图纸、软盘等；（9）致谢。毕业论文按统一顺序装订后与《毕业论文（设计、创作）手册》、工程图纸(按国家标准装订)、软盘等一起放入填写好的资料袋内提交二级学院存档。</w:t>
      </w:r>
    </w:p>
    <w:p>
      <w:pPr>
        <w:pStyle w:val="7"/>
        <w:adjustRightInd w:val="0"/>
        <w:snapToGrid w:val="0"/>
        <w:spacing w:before="156" w:beforeLines="50" w:after="156" w:afterLines="50" w:line="300" w:lineRule="auto"/>
        <w:ind w:firstLine="562" w:firstLineChars="200"/>
        <w:outlineLvl w:val="0"/>
        <w:rPr>
          <w:rFonts w:ascii="仿宋_GB2312" w:hAnsi="Times New Roman" w:eastAsia="仿宋_GB2312" w:cs="宋体"/>
          <w:b/>
          <w:sz w:val="28"/>
          <w:szCs w:val="28"/>
        </w:rPr>
      </w:pPr>
      <w:r>
        <w:rPr>
          <w:rFonts w:hint="eastAsia" w:ascii="仿宋_GB2312" w:hAnsi="Times New Roman" w:eastAsia="仿宋_GB2312" w:cs="宋体"/>
          <w:b/>
          <w:sz w:val="28"/>
          <w:szCs w:val="28"/>
        </w:rPr>
        <w:t>三、基本规范要求的执行</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1.二级学院毕业论文领导小组根据《内江师范学院本科毕业论文撰写基本规范》，结合本二级学院学科专业特点制定该学院的基本规范（细则），提供毕业论文写作模板，并检查执行的情况；</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2.二级学院应在毕业论文答辩前安排指导教师对学生毕业论文进行审查，审查包括两个方面：（1）是否按毕业论文任务书要求完成各项任务；（2）是否按毕业论文撰写的基本规范要求撰写论文；</w:t>
      </w:r>
    </w:p>
    <w:p>
      <w:pPr>
        <w:pStyle w:val="7"/>
        <w:adjustRightInd w:val="0"/>
        <w:snapToGrid w:val="0"/>
        <w:spacing w:line="300" w:lineRule="auto"/>
        <w:ind w:firstLine="560" w:firstLineChars="200"/>
        <w:rPr>
          <w:rFonts w:ascii="仿宋_GB2312" w:hAnsi="Times New Roman" w:eastAsia="仿宋_GB2312" w:cs="宋体"/>
          <w:sz w:val="28"/>
          <w:szCs w:val="28"/>
        </w:rPr>
      </w:pPr>
      <w:r>
        <w:rPr>
          <w:rFonts w:hint="eastAsia" w:ascii="仿宋_GB2312" w:hAnsi="Times New Roman" w:eastAsia="仿宋_GB2312" w:cs="宋体"/>
          <w:sz w:val="28"/>
          <w:szCs w:val="28"/>
        </w:rPr>
        <w:t>3.答辩前审查不合格者，应按要求修改，达到要求后才能参加答辩。</w:t>
      </w:r>
    </w:p>
    <w:p>
      <w:pPr>
        <w:pStyle w:val="7"/>
        <w:adjustRightInd w:val="0"/>
        <w:snapToGrid w:val="0"/>
        <w:spacing w:line="360" w:lineRule="auto"/>
        <w:jc w:val="left"/>
        <w:rPr>
          <w:rFonts w:ascii="仿宋_GB2312" w:hAnsi="宋体" w:eastAsia="仿宋_GB2312" w:cs="宋体"/>
          <w:b/>
          <w:sz w:val="28"/>
          <w:szCs w:val="28"/>
        </w:rPr>
      </w:pPr>
      <w:r>
        <w:rPr>
          <w:rFonts w:ascii="Times New Roman" w:hAnsi="Times New Roman" w:cs="宋体"/>
          <w:sz w:val="24"/>
          <w:szCs w:val="24"/>
        </w:rPr>
        <w:br w:type="page"/>
      </w:r>
      <w:r>
        <w:rPr>
          <w:rFonts w:hint="eastAsia" w:ascii="仿宋_GB2312" w:hAnsi="宋体" w:eastAsia="仿宋_GB2312" w:cs="宋体"/>
          <w:b/>
          <w:sz w:val="28"/>
          <w:szCs w:val="28"/>
        </w:rPr>
        <w:t>附件2</w:t>
      </w:r>
    </w:p>
    <w:p>
      <w:pPr>
        <w:pStyle w:val="7"/>
        <w:adjustRightInd w:val="0"/>
        <w:snapToGrid w:val="0"/>
        <w:spacing w:line="560" w:lineRule="exact"/>
        <w:jc w:val="center"/>
        <w:rPr>
          <w:rFonts w:ascii="方正小标宋简体" w:hAnsi="宋体" w:eastAsia="方正小标宋简体" w:cs="宋体"/>
          <w:b/>
          <w:sz w:val="32"/>
          <w:szCs w:val="32"/>
        </w:rPr>
      </w:pPr>
      <w:r>
        <w:rPr>
          <w:rFonts w:hint="eastAsia" w:ascii="方正小标宋简体" w:hAnsi="宋体" w:eastAsia="方正小标宋简体" w:cs="宋体"/>
          <w:b/>
          <w:sz w:val="32"/>
          <w:szCs w:val="32"/>
        </w:rPr>
        <w:t>内江师范学院本科毕业论文评价标准</w:t>
      </w:r>
    </w:p>
    <w:p>
      <w:pPr>
        <w:pStyle w:val="7"/>
        <w:adjustRightInd w:val="0"/>
        <w:snapToGrid w:val="0"/>
        <w:spacing w:line="560" w:lineRule="exact"/>
        <w:jc w:val="center"/>
        <w:outlineLvl w:val="0"/>
        <w:rPr>
          <w:rFonts w:ascii="方正小标宋简体" w:hAnsi="宋体" w:eastAsia="方正小标宋简体" w:cs="宋体"/>
          <w:b/>
          <w:sz w:val="28"/>
          <w:szCs w:val="28"/>
        </w:rPr>
      </w:pPr>
      <w:r>
        <w:rPr>
          <w:rFonts w:hint="eastAsia" w:ascii="方正小标宋简体" w:hAnsi="宋体" w:eastAsia="方正小标宋简体" w:cs="宋体"/>
          <w:b/>
          <w:sz w:val="28"/>
          <w:szCs w:val="28"/>
        </w:rPr>
        <w:t>内江师范学院本科毕业论文评价标准(理、工类)</w:t>
      </w:r>
    </w:p>
    <w:tbl>
      <w:tblPr>
        <w:tblStyle w:val="15"/>
        <w:tblW w:w="938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09"/>
        <w:gridCol w:w="1843"/>
        <w:gridCol w:w="1701"/>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99" w:type="dxa"/>
            <w:vMerge w:val="restart"/>
            <w:vAlign w:val="center"/>
          </w:tcPr>
          <w:p>
            <w:pPr>
              <w:pStyle w:val="7"/>
              <w:adjustRightInd w:val="0"/>
              <w:snapToGrid w:val="0"/>
              <w:jc w:val="center"/>
              <w:rPr>
                <w:rFonts w:ascii="黑体" w:hAnsi="宋体" w:eastAsia="黑体" w:cs="宋体"/>
              </w:rPr>
            </w:pPr>
            <w:r>
              <w:rPr>
                <w:rFonts w:hint="eastAsia" w:ascii="黑体" w:hAnsi="宋体" w:eastAsia="黑体" w:cs="宋体"/>
              </w:rPr>
              <w:t>项目</w:t>
            </w:r>
          </w:p>
        </w:tc>
        <w:tc>
          <w:tcPr>
            <w:tcW w:w="8388" w:type="dxa"/>
            <w:gridSpan w:val="5"/>
            <w:vAlign w:val="center"/>
          </w:tcPr>
          <w:p>
            <w:pPr>
              <w:pStyle w:val="7"/>
              <w:adjustRightInd w:val="0"/>
              <w:snapToGrid w:val="0"/>
              <w:jc w:val="center"/>
              <w:rPr>
                <w:rFonts w:ascii="黑体" w:hAnsi="宋体" w:eastAsia="黑体" w:cs="宋体"/>
                <w:bCs/>
              </w:rPr>
            </w:pPr>
            <w:r>
              <w:rPr>
                <w:rFonts w:hint="eastAsia" w:ascii="黑体" w:hAnsi="宋体" w:eastAsia="黑体" w:cs="宋体"/>
                <w:bCs/>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99" w:type="dxa"/>
            <w:vMerge w:val="continue"/>
            <w:vAlign w:val="center"/>
          </w:tcPr>
          <w:p>
            <w:pPr>
              <w:pStyle w:val="7"/>
              <w:adjustRightInd w:val="0"/>
              <w:snapToGrid w:val="0"/>
              <w:jc w:val="center"/>
              <w:rPr>
                <w:rFonts w:ascii="黑体" w:hAnsi="宋体" w:eastAsia="黑体" w:cs="宋体"/>
              </w:rPr>
            </w:pPr>
          </w:p>
        </w:tc>
        <w:tc>
          <w:tcPr>
            <w:tcW w:w="2009" w:type="dxa"/>
            <w:vAlign w:val="center"/>
          </w:tcPr>
          <w:p>
            <w:pPr>
              <w:pStyle w:val="7"/>
              <w:adjustRightInd w:val="0"/>
              <w:snapToGrid w:val="0"/>
              <w:jc w:val="center"/>
              <w:rPr>
                <w:rFonts w:ascii="黑体" w:hAnsi="宋体" w:eastAsia="黑体" w:cs="宋体"/>
                <w:bCs/>
              </w:rPr>
            </w:pPr>
            <w:r>
              <w:rPr>
                <w:rFonts w:hint="eastAsia" w:ascii="黑体" w:hAnsi="宋体" w:eastAsia="黑体" w:cs="宋体"/>
                <w:bCs/>
              </w:rPr>
              <w:t>9</w:t>
            </w:r>
            <w:r>
              <w:rPr>
                <w:rFonts w:ascii="黑体" w:hAnsi="宋体" w:eastAsia="黑体" w:cs="宋体"/>
                <w:bCs/>
              </w:rPr>
              <w:t>0-100</w:t>
            </w:r>
          </w:p>
        </w:tc>
        <w:tc>
          <w:tcPr>
            <w:tcW w:w="1843" w:type="dxa"/>
            <w:vAlign w:val="center"/>
          </w:tcPr>
          <w:p>
            <w:pPr>
              <w:pStyle w:val="7"/>
              <w:adjustRightInd w:val="0"/>
              <w:snapToGrid w:val="0"/>
              <w:jc w:val="center"/>
              <w:rPr>
                <w:rFonts w:ascii="黑体" w:hAnsi="宋体" w:eastAsia="黑体" w:cs="宋体"/>
                <w:bCs/>
              </w:rPr>
            </w:pPr>
            <w:r>
              <w:rPr>
                <w:rFonts w:hint="eastAsia" w:ascii="黑体" w:hAnsi="宋体" w:eastAsia="黑体" w:cs="宋体"/>
                <w:bCs/>
              </w:rPr>
              <w:t>8</w:t>
            </w:r>
            <w:r>
              <w:rPr>
                <w:rFonts w:ascii="黑体" w:hAnsi="宋体" w:eastAsia="黑体" w:cs="宋体"/>
                <w:bCs/>
              </w:rPr>
              <w:t>0-89</w:t>
            </w:r>
          </w:p>
        </w:tc>
        <w:tc>
          <w:tcPr>
            <w:tcW w:w="1701" w:type="dxa"/>
            <w:vAlign w:val="center"/>
          </w:tcPr>
          <w:p>
            <w:pPr>
              <w:pStyle w:val="7"/>
              <w:adjustRightInd w:val="0"/>
              <w:snapToGrid w:val="0"/>
              <w:jc w:val="center"/>
              <w:rPr>
                <w:rFonts w:ascii="黑体" w:hAnsi="宋体" w:eastAsia="黑体" w:cs="宋体"/>
                <w:bCs/>
              </w:rPr>
            </w:pPr>
            <w:r>
              <w:rPr>
                <w:rFonts w:hint="eastAsia" w:ascii="黑体" w:hAnsi="宋体" w:eastAsia="黑体" w:cs="宋体"/>
                <w:bCs/>
              </w:rPr>
              <w:t>7</w:t>
            </w:r>
            <w:r>
              <w:rPr>
                <w:rFonts w:ascii="黑体" w:hAnsi="宋体" w:eastAsia="黑体" w:cs="宋体"/>
                <w:bCs/>
              </w:rPr>
              <w:t>0-79</w:t>
            </w:r>
          </w:p>
        </w:tc>
        <w:tc>
          <w:tcPr>
            <w:tcW w:w="1275" w:type="dxa"/>
            <w:vAlign w:val="center"/>
          </w:tcPr>
          <w:p>
            <w:pPr>
              <w:pStyle w:val="7"/>
              <w:adjustRightInd w:val="0"/>
              <w:snapToGrid w:val="0"/>
              <w:jc w:val="center"/>
              <w:rPr>
                <w:rFonts w:ascii="黑体" w:hAnsi="宋体" w:eastAsia="黑体" w:cs="宋体"/>
                <w:bCs/>
              </w:rPr>
            </w:pPr>
            <w:r>
              <w:rPr>
                <w:rFonts w:hint="eastAsia" w:ascii="黑体" w:hAnsi="宋体" w:eastAsia="黑体" w:cs="宋体"/>
                <w:bCs/>
              </w:rPr>
              <w:t>6</w:t>
            </w:r>
            <w:r>
              <w:rPr>
                <w:rFonts w:ascii="黑体" w:hAnsi="宋体" w:eastAsia="黑体" w:cs="宋体"/>
                <w:bCs/>
              </w:rPr>
              <w:t>0-69</w:t>
            </w:r>
          </w:p>
        </w:tc>
        <w:tc>
          <w:tcPr>
            <w:tcW w:w="1560" w:type="dxa"/>
            <w:vAlign w:val="center"/>
          </w:tcPr>
          <w:p>
            <w:pPr>
              <w:pStyle w:val="7"/>
              <w:adjustRightInd w:val="0"/>
              <w:snapToGrid w:val="0"/>
              <w:jc w:val="center"/>
              <w:rPr>
                <w:rFonts w:ascii="黑体" w:hAnsi="宋体" w:eastAsia="黑体" w:cs="宋体"/>
                <w:bCs/>
              </w:rPr>
            </w:pPr>
            <w:r>
              <w:rPr>
                <w:rFonts w:hint="eastAsia" w:ascii="黑体" w:hAnsi="宋体" w:eastAsia="黑体" w:cs="宋体"/>
                <w:bCs/>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999" w:type="dxa"/>
            <w:vAlign w:val="center"/>
          </w:tcPr>
          <w:p>
            <w:pPr>
              <w:pStyle w:val="7"/>
              <w:adjustRightInd w:val="0"/>
              <w:snapToGrid w:val="0"/>
              <w:jc w:val="center"/>
              <w:rPr>
                <w:rFonts w:ascii="黑体" w:hAnsi="宋体" w:eastAsia="黑体" w:cs="宋体"/>
              </w:rPr>
            </w:pPr>
            <w:r>
              <w:rPr>
                <w:rFonts w:hint="eastAsia" w:ascii="黑体" w:hAnsi="宋体" w:eastAsia="黑体" w:cs="宋体"/>
              </w:rPr>
              <w:t>调研</w:t>
            </w:r>
          </w:p>
          <w:p>
            <w:pPr>
              <w:pStyle w:val="7"/>
              <w:adjustRightInd w:val="0"/>
              <w:snapToGrid w:val="0"/>
              <w:jc w:val="center"/>
              <w:rPr>
                <w:rFonts w:ascii="黑体" w:hAnsi="宋体" w:eastAsia="黑体" w:cs="宋体"/>
              </w:rPr>
            </w:pPr>
            <w:r>
              <w:rPr>
                <w:rFonts w:hint="eastAsia" w:ascii="黑体" w:hAnsi="宋体" w:eastAsia="黑体" w:cs="宋体"/>
              </w:rPr>
              <w:t>论证</w:t>
            </w:r>
          </w:p>
        </w:tc>
        <w:tc>
          <w:tcPr>
            <w:tcW w:w="2009" w:type="dxa"/>
            <w:vAlign w:val="center"/>
          </w:tcPr>
          <w:p>
            <w:pPr>
              <w:pStyle w:val="7"/>
              <w:adjustRightInd w:val="0"/>
              <w:snapToGrid w:val="0"/>
              <w:rPr>
                <w:rFonts w:hAnsi="宋体" w:cs="宋体"/>
                <w:w w:val="90"/>
              </w:rPr>
            </w:pPr>
            <w:r>
              <w:rPr>
                <w:rFonts w:hint="eastAsia" w:hAnsi="宋体" w:cs="宋体"/>
                <w:w w:val="90"/>
              </w:rPr>
              <w:t>能独立查阅文献及从事其它形式的调研,能较好地理解题目任务并提出实施方案,有分析整理各类信息、从中获取新知识的能力</w:t>
            </w:r>
          </w:p>
        </w:tc>
        <w:tc>
          <w:tcPr>
            <w:tcW w:w="1843" w:type="dxa"/>
            <w:vAlign w:val="center"/>
          </w:tcPr>
          <w:p>
            <w:pPr>
              <w:pStyle w:val="7"/>
              <w:adjustRightInd w:val="0"/>
              <w:snapToGrid w:val="0"/>
              <w:rPr>
                <w:rFonts w:hAnsi="宋体" w:cs="宋体"/>
                <w:w w:val="90"/>
              </w:rPr>
            </w:pPr>
            <w:r>
              <w:rPr>
                <w:rFonts w:hint="eastAsia" w:hAnsi="宋体" w:cs="宋体"/>
                <w:w w:val="90"/>
              </w:rPr>
              <w:t>除全部阅读教师指定的参考资料、文献外，还能阅读一些自选资料，能较好地分析整理各类信息，并提出较合理的实施方案</w:t>
            </w:r>
          </w:p>
        </w:tc>
        <w:tc>
          <w:tcPr>
            <w:tcW w:w="1701" w:type="dxa"/>
            <w:vAlign w:val="center"/>
          </w:tcPr>
          <w:p>
            <w:pPr>
              <w:pStyle w:val="7"/>
              <w:adjustRightInd w:val="0"/>
              <w:snapToGrid w:val="0"/>
              <w:rPr>
                <w:rFonts w:hAnsi="宋体" w:cs="宋体"/>
                <w:w w:val="90"/>
              </w:rPr>
            </w:pPr>
            <w:r>
              <w:rPr>
                <w:rFonts w:hint="eastAsia" w:hAnsi="宋体" w:cs="宋体"/>
                <w:w w:val="90"/>
              </w:rPr>
              <w:t>能阅读教师指定的参考资料、文献，能分析整理各类信息能力，有实施方案</w:t>
            </w:r>
          </w:p>
        </w:tc>
        <w:tc>
          <w:tcPr>
            <w:tcW w:w="1275" w:type="dxa"/>
            <w:vAlign w:val="center"/>
          </w:tcPr>
          <w:p>
            <w:pPr>
              <w:pStyle w:val="7"/>
              <w:adjustRightInd w:val="0"/>
              <w:snapToGrid w:val="0"/>
              <w:rPr>
                <w:rFonts w:hAnsi="宋体" w:cs="宋体"/>
                <w:w w:val="90"/>
              </w:rPr>
            </w:pPr>
            <w:r>
              <w:rPr>
                <w:rFonts w:hint="eastAsia" w:hAnsi="宋体" w:cs="宋体"/>
                <w:w w:val="90"/>
              </w:rPr>
              <w:t>能阅读教师指定的参考资料，有实施方案</w:t>
            </w:r>
          </w:p>
        </w:tc>
        <w:tc>
          <w:tcPr>
            <w:tcW w:w="1560" w:type="dxa"/>
            <w:vAlign w:val="center"/>
          </w:tcPr>
          <w:p>
            <w:pPr>
              <w:pStyle w:val="7"/>
              <w:adjustRightInd w:val="0"/>
              <w:snapToGrid w:val="0"/>
              <w:rPr>
                <w:rFonts w:hAnsi="宋体" w:cs="宋体"/>
                <w:w w:val="90"/>
              </w:rPr>
            </w:pPr>
            <w:r>
              <w:rPr>
                <w:rFonts w:hint="eastAsia" w:hAnsi="宋体" w:cs="宋体"/>
                <w:w w:val="90"/>
              </w:rPr>
              <w:t>未完成教师指定的参考资料及文献的阅读，无信息分析整理，实施方案不合理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999" w:type="dxa"/>
            <w:vAlign w:val="center"/>
          </w:tcPr>
          <w:p>
            <w:pPr>
              <w:pStyle w:val="7"/>
              <w:adjustRightInd w:val="0"/>
              <w:snapToGrid w:val="0"/>
              <w:jc w:val="center"/>
              <w:rPr>
                <w:rFonts w:ascii="黑体" w:hAnsi="宋体" w:eastAsia="黑体" w:cs="宋体"/>
                <w:spacing w:val="-12"/>
              </w:rPr>
            </w:pPr>
            <w:r>
              <w:rPr>
                <w:rFonts w:hint="eastAsia" w:ascii="黑体" w:hAnsi="宋体" w:eastAsia="黑体" w:cs="宋体"/>
                <w:spacing w:val="-12"/>
              </w:rPr>
              <w:t>技术水平</w:t>
            </w:r>
          </w:p>
          <w:p>
            <w:pPr>
              <w:pStyle w:val="7"/>
              <w:adjustRightInd w:val="0"/>
              <w:snapToGrid w:val="0"/>
              <w:jc w:val="center"/>
              <w:rPr>
                <w:rFonts w:ascii="黑体" w:hAnsi="宋体" w:eastAsia="黑体" w:cs="宋体"/>
                <w:spacing w:val="-12"/>
              </w:rPr>
            </w:pPr>
            <w:r>
              <w:rPr>
                <w:rFonts w:hint="eastAsia" w:ascii="黑体" w:hAnsi="宋体" w:eastAsia="黑体" w:cs="宋体"/>
                <w:spacing w:val="-12"/>
              </w:rPr>
              <w:t>与</w:t>
            </w:r>
          </w:p>
          <w:p>
            <w:pPr>
              <w:pStyle w:val="7"/>
              <w:adjustRightInd w:val="0"/>
              <w:snapToGrid w:val="0"/>
              <w:jc w:val="center"/>
              <w:rPr>
                <w:rFonts w:ascii="黑体" w:hAnsi="宋体" w:eastAsia="黑体" w:cs="宋体"/>
              </w:rPr>
            </w:pPr>
            <w:r>
              <w:rPr>
                <w:rFonts w:hint="eastAsia" w:ascii="黑体" w:hAnsi="宋体" w:eastAsia="黑体" w:cs="宋体"/>
                <w:spacing w:val="-12"/>
              </w:rPr>
              <w:t>实际能力</w:t>
            </w:r>
          </w:p>
        </w:tc>
        <w:tc>
          <w:tcPr>
            <w:tcW w:w="2009" w:type="dxa"/>
            <w:vAlign w:val="center"/>
          </w:tcPr>
          <w:p>
            <w:pPr>
              <w:pStyle w:val="7"/>
              <w:adjustRightInd w:val="0"/>
              <w:snapToGrid w:val="0"/>
              <w:rPr>
                <w:rFonts w:hAnsi="宋体" w:cs="宋体"/>
                <w:w w:val="90"/>
              </w:rPr>
            </w:pPr>
            <w:r>
              <w:rPr>
                <w:rFonts w:hint="eastAsia" w:hAnsi="宋体" w:cs="宋体"/>
                <w:w w:val="90"/>
              </w:rPr>
              <w:t>设计合理、理论分析与计算正确，实验数据准备可靠，有较强的实际动手能力和计算机应用能力</w:t>
            </w:r>
          </w:p>
        </w:tc>
        <w:tc>
          <w:tcPr>
            <w:tcW w:w="1843" w:type="dxa"/>
            <w:vAlign w:val="center"/>
          </w:tcPr>
          <w:p>
            <w:pPr>
              <w:pStyle w:val="7"/>
              <w:adjustRightInd w:val="0"/>
              <w:snapToGrid w:val="0"/>
              <w:rPr>
                <w:rFonts w:hAnsi="宋体" w:cs="宋体"/>
                <w:w w:val="90"/>
              </w:rPr>
            </w:pPr>
            <w:r>
              <w:rPr>
                <w:rFonts w:hint="eastAsia" w:hAnsi="宋体" w:cs="宋体"/>
                <w:w w:val="90"/>
              </w:rPr>
              <w:t>设计比较合理、理论分析与计算正确，实验数据比较准确，有一定的实际动手能力和计算机应用能力</w:t>
            </w:r>
          </w:p>
        </w:tc>
        <w:tc>
          <w:tcPr>
            <w:tcW w:w="1701" w:type="dxa"/>
            <w:vAlign w:val="center"/>
          </w:tcPr>
          <w:p>
            <w:pPr>
              <w:pStyle w:val="7"/>
              <w:adjustRightInd w:val="0"/>
              <w:snapToGrid w:val="0"/>
              <w:rPr>
                <w:rFonts w:hAnsi="宋体" w:cs="宋体"/>
                <w:w w:val="90"/>
              </w:rPr>
            </w:pPr>
            <w:r>
              <w:rPr>
                <w:rFonts w:hint="eastAsia" w:hAnsi="宋体" w:cs="宋体"/>
                <w:w w:val="90"/>
              </w:rPr>
              <w:t>设计比较合理，理论分析与计算基本正确，实验数据基本准确，实际动手能力和计算机应用能力尚可</w:t>
            </w:r>
          </w:p>
        </w:tc>
        <w:tc>
          <w:tcPr>
            <w:tcW w:w="1275" w:type="dxa"/>
            <w:vAlign w:val="center"/>
          </w:tcPr>
          <w:p>
            <w:pPr>
              <w:pStyle w:val="7"/>
              <w:adjustRightInd w:val="0"/>
              <w:snapToGrid w:val="0"/>
              <w:rPr>
                <w:rFonts w:hAnsi="宋体" w:cs="宋体"/>
                <w:w w:val="90"/>
              </w:rPr>
            </w:pPr>
            <w:r>
              <w:rPr>
                <w:rFonts w:hint="eastAsia" w:hAnsi="宋体" w:cs="宋体"/>
                <w:w w:val="90"/>
              </w:rPr>
              <w:t>设计基本合理，理论分析与计算无大错</w:t>
            </w:r>
          </w:p>
        </w:tc>
        <w:tc>
          <w:tcPr>
            <w:tcW w:w="1560" w:type="dxa"/>
            <w:vAlign w:val="center"/>
          </w:tcPr>
          <w:p>
            <w:pPr>
              <w:pStyle w:val="7"/>
              <w:adjustRightInd w:val="0"/>
              <w:snapToGrid w:val="0"/>
              <w:rPr>
                <w:rFonts w:hAnsi="宋体" w:cs="宋体"/>
                <w:w w:val="90"/>
              </w:rPr>
            </w:pPr>
            <w:r>
              <w:rPr>
                <w:rFonts w:hint="eastAsia" w:hAnsi="宋体" w:cs="宋体"/>
                <w:w w:val="90"/>
              </w:rPr>
              <w:t>设计不合理，理论分析与计算有原则错误，实验数据不可靠，实际动手能力差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999" w:type="dxa"/>
            <w:vAlign w:val="center"/>
          </w:tcPr>
          <w:p>
            <w:pPr>
              <w:pStyle w:val="7"/>
              <w:adjustRightInd w:val="0"/>
              <w:snapToGrid w:val="0"/>
              <w:jc w:val="center"/>
              <w:rPr>
                <w:rFonts w:ascii="黑体" w:hAnsi="宋体" w:eastAsia="黑体" w:cs="宋体"/>
                <w:spacing w:val="-12"/>
              </w:rPr>
            </w:pPr>
            <w:r>
              <w:rPr>
                <w:rFonts w:hint="eastAsia" w:ascii="黑体" w:hAnsi="宋体" w:eastAsia="黑体" w:cs="宋体"/>
                <w:spacing w:val="-12"/>
              </w:rPr>
              <w:t>研究成果</w:t>
            </w:r>
          </w:p>
          <w:p>
            <w:pPr>
              <w:pStyle w:val="7"/>
              <w:adjustRightInd w:val="0"/>
              <w:snapToGrid w:val="0"/>
              <w:jc w:val="center"/>
              <w:rPr>
                <w:rFonts w:ascii="黑体" w:hAnsi="宋体" w:eastAsia="黑体" w:cs="宋体"/>
              </w:rPr>
            </w:pPr>
            <w:r>
              <w:rPr>
                <w:rFonts w:hint="eastAsia" w:ascii="黑体" w:hAnsi="宋体" w:eastAsia="黑体" w:cs="宋体"/>
              </w:rPr>
              <w:t>基础理论与</w:t>
            </w:r>
          </w:p>
          <w:p>
            <w:pPr>
              <w:pStyle w:val="7"/>
              <w:adjustRightInd w:val="0"/>
              <w:snapToGrid w:val="0"/>
              <w:jc w:val="center"/>
              <w:rPr>
                <w:rFonts w:ascii="黑体" w:hAnsi="宋体" w:eastAsia="黑体" w:cs="宋体"/>
              </w:rPr>
            </w:pPr>
            <w:r>
              <w:rPr>
                <w:rFonts w:hint="eastAsia" w:ascii="黑体" w:hAnsi="宋体" w:eastAsia="黑体" w:cs="宋体"/>
                <w:spacing w:val="-12"/>
              </w:rPr>
              <w:t>专业知识</w:t>
            </w:r>
          </w:p>
        </w:tc>
        <w:tc>
          <w:tcPr>
            <w:tcW w:w="2009" w:type="dxa"/>
            <w:vAlign w:val="center"/>
          </w:tcPr>
          <w:p>
            <w:pPr>
              <w:pStyle w:val="7"/>
              <w:adjustRightInd w:val="0"/>
              <w:snapToGrid w:val="0"/>
              <w:rPr>
                <w:rFonts w:hAnsi="宋体" w:cs="宋体"/>
                <w:w w:val="90"/>
              </w:rPr>
            </w:pPr>
            <w:r>
              <w:rPr>
                <w:rFonts w:hint="eastAsia" w:hAnsi="宋体" w:cs="宋体"/>
                <w:w w:val="90"/>
              </w:rPr>
              <w:t>对研究的问题能较深刻分析或有独到之处，成果突出，反映出作者很好地掌握了有关基础理论与专业知识</w:t>
            </w:r>
          </w:p>
        </w:tc>
        <w:tc>
          <w:tcPr>
            <w:tcW w:w="1843" w:type="dxa"/>
            <w:vAlign w:val="center"/>
          </w:tcPr>
          <w:p>
            <w:pPr>
              <w:pStyle w:val="7"/>
              <w:adjustRightInd w:val="0"/>
              <w:snapToGrid w:val="0"/>
              <w:rPr>
                <w:rFonts w:hAnsi="宋体" w:cs="宋体"/>
                <w:w w:val="90"/>
              </w:rPr>
            </w:pPr>
            <w:r>
              <w:rPr>
                <w:rFonts w:hint="eastAsia" w:hAnsi="宋体" w:cs="宋体"/>
                <w:w w:val="90"/>
              </w:rPr>
              <w:t>对研究的问题能正确分析或有新见解，成果比较突出，反映出作者较好地掌握了有关基础理论与专业知识</w:t>
            </w:r>
          </w:p>
        </w:tc>
        <w:tc>
          <w:tcPr>
            <w:tcW w:w="1701" w:type="dxa"/>
            <w:vAlign w:val="center"/>
          </w:tcPr>
          <w:p>
            <w:pPr>
              <w:pStyle w:val="7"/>
              <w:adjustRightInd w:val="0"/>
              <w:snapToGrid w:val="0"/>
              <w:rPr>
                <w:rFonts w:hAnsi="宋体" w:cs="宋体"/>
                <w:w w:val="90"/>
              </w:rPr>
            </w:pPr>
            <w:r>
              <w:rPr>
                <w:rFonts w:hint="eastAsia" w:hAnsi="宋体" w:cs="宋体"/>
                <w:w w:val="90"/>
              </w:rPr>
              <w:t>对研究的问题能提出自己的见解，成果有一定意义，反映出作者基本掌握了有关基础理论与专业知识</w:t>
            </w:r>
          </w:p>
        </w:tc>
        <w:tc>
          <w:tcPr>
            <w:tcW w:w="1275" w:type="dxa"/>
            <w:vAlign w:val="center"/>
          </w:tcPr>
          <w:p>
            <w:pPr>
              <w:pStyle w:val="7"/>
              <w:adjustRightInd w:val="0"/>
              <w:snapToGrid w:val="0"/>
              <w:rPr>
                <w:rFonts w:hAnsi="宋体" w:cs="宋体"/>
                <w:w w:val="90"/>
              </w:rPr>
            </w:pPr>
            <w:r>
              <w:rPr>
                <w:rFonts w:hint="eastAsia" w:hAnsi="宋体" w:cs="宋体"/>
                <w:w w:val="90"/>
              </w:rPr>
              <w:t>对某些问题提出个人见解，并得出研究结果，作者对基础理论和专业知识基本掌握</w:t>
            </w:r>
          </w:p>
        </w:tc>
        <w:tc>
          <w:tcPr>
            <w:tcW w:w="1560" w:type="dxa"/>
            <w:vAlign w:val="center"/>
          </w:tcPr>
          <w:p>
            <w:pPr>
              <w:pStyle w:val="7"/>
              <w:adjustRightInd w:val="0"/>
              <w:snapToGrid w:val="0"/>
              <w:rPr>
                <w:rFonts w:hAnsi="宋体" w:cs="宋体"/>
                <w:w w:val="90"/>
              </w:rPr>
            </w:pPr>
            <w:r>
              <w:rPr>
                <w:rFonts w:hint="eastAsia" w:hAnsi="宋体" w:cs="宋体"/>
                <w:w w:val="90"/>
              </w:rPr>
              <w:t>缺乏研究能力，未取得任何成果，反映出作者基础理论和专业知识很不扎实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vAlign w:val="center"/>
          </w:tcPr>
          <w:p>
            <w:pPr>
              <w:pStyle w:val="7"/>
              <w:adjustRightInd w:val="0"/>
              <w:snapToGrid w:val="0"/>
              <w:jc w:val="center"/>
              <w:rPr>
                <w:rFonts w:ascii="黑体" w:hAnsi="宋体" w:eastAsia="黑体" w:cs="宋体"/>
              </w:rPr>
            </w:pPr>
            <w:r>
              <w:rPr>
                <w:rFonts w:hint="eastAsia" w:ascii="黑体" w:hAnsi="宋体" w:eastAsia="黑体" w:cs="宋体"/>
              </w:rPr>
              <w:t>创新</w:t>
            </w:r>
          </w:p>
        </w:tc>
        <w:tc>
          <w:tcPr>
            <w:tcW w:w="2009" w:type="dxa"/>
            <w:vAlign w:val="center"/>
          </w:tcPr>
          <w:p>
            <w:pPr>
              <w:pStyle w:val="7"/>
              <w:adjustRightInd w:val="0"/>
              <w:snapToGrid w:val="0"/>
              <w:rPr>
                <w:rFonts w:hAnsi="宋体" w:cs="宋体"/>
                <w:w w:val="90"/>
              </w:rPr>
            </w:pPr>
            <w:r>
              <w:rPr>
                <w:rFonts w:hint="eastAsia" w:hAnsi="宋体" w:cs="宋体"/>
                <w:w w:val="90"/>
              </w:rPr>
              <w:t>有重大改进或独特见解，有一定实用价值</w:t>
            </w:r>
          </w:p>
        </w:tc>
        <w:tc>
          <w:tcPr>
            <w:tcW w:w="1843" w:type="dxa"/>
            <w:vAlign w:val="center"/>
          </w:tcPr>
          <w:p>
            <w:pPr>
              <w:pStyle w:val="7"/>
              <w:adjustRightInd w:val="0"/>
              <w:snapToGrid w:val="0"/>
              <w:rPr>
                <w:rFonts w:hAnsi="宋体" w:cs="宋体"/>
                <w:w w:val="90"/>
              </w:rPr>
            </w:pPr>
            <w:r>
              <w:rPr>
                <w:rFonts w:hint="eastAsia" w:hAnsi="宋体" w:cs="宋体"/>
                <w:w w:val="90"/>
              </w:rPr>
              <w:t>有较大改进或新颖的见解，实用性尚可</w:t>
            </w:r>
          </w:p>
        </w:tc>
        <w:tc>
          <w:tcPr>
            <w:tcW w:w="1701" w:type="dxa"/>
            <w:vAlign w:val="center"/>
          </w:tcPr>
          <w:p>
            <w:pPr>
              <w:pStyle w:val="7"/>
              <w:adjustRightInd w:val="0"/>
              <w:snapToGrid w:val="0"/>
              <w:rPr>
                <w:rFonts w:hAnsi="宋体" w:cs="宋体"/>
                <w:w w:val="90"/>
              </w:rPr>
            </w:pPr>
            <w:r>
              <w:rPr>
                <w:rFonts w:hint="eastAsia" w:hAnsi="宋体" w:cs="宋体"/>
                <w:w w:val="90"/>
              </w:rPr>
              <w:t>有一定改进或新的见解</w:t>
            </w:r>
          </w:p>
        </w:tc>
        <w:tc>
          <w:tcPr>
            <w:tcW w:w="1275" w:type="dxa"/>
            <w:vAlign w:val="center"/>
          </w:tcPr>
          <w:p>
            <w:pPr>
              <w:pStyle w:val="7"/>
              <w:adjustRightInd w:val="0"/>
              <w:snapToGrid w:val="0"/>
              <w:jc w:val="center"/>
              <w:rPr>
                <w:rFonts w:hAnsi="宋体" w:cs="宋体"/>
                <w:w w:val="90"/>
              </w:rPr>
            </w:pPr>
            <w:r>
              <w:rPr>
                <w:rFonts w:hint="eastAsia" w:hAnsi="宋体" w:cs="宋体"/>
                <w:w w:val="90"/>
              </w:rPr>
              <w:t>有一定见解</w:t>
            </w:r>
          </w:p>
        </w:tc>
        <w:tc>
          <w:tcPr>
            <w:tcW w:w="1560" w:type="dxa"/>
            <w:vAlign w:val="center"/>
          </w:tcPr>
          <w:p>
            <w:pPr>
              <w:pStyle w:val="7"/>
              <w:adjustRightInd w:val="0"/>
              <w:snapToGrid w:val="0"/>
              <w:jc w:val="center"/>
              <w:rPr>
                <w:rFonts w:hAnsi="宋体" w:cs="宋体"/>
                <w:w w:val="90"/>
              </w:rPr>
            </w:pPr>
            <w:r>
              <w:rPr>
                <w:rFonts w:hint="eastAsia" w:hAnsi="宋体" w:cs="宋体"/>
                <w:w w:val="90"/>
              </w:rPr>
              <w:t>观念陈旧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vAlign w:val="center"/>
          </w:tcPr>
          <w:p>
            <w:pPr>
              <w:pStyle w:val="7"/>
              <w:adjustRightInd w:val="0"/>
              <w:snapToGrid w:val="0"/>
              <w:jc w:val="center"/>
              <w:rPr>
                <w:rFonts w:ascii="黑体" w:hAnsi="宋体" w:eastAsia="黑体" w:cs="宋体"/>
                <w:spacing w:val="-10"/>
              </w:rPr>
            </w:pPr>
            <w:r>
              <w:rPr>
                <w:rFonts w:hint="eastAsia" w:ascii="黑体" w:hAnsi="宋体" w:eastAsia="黑体" w:cs="宋体"/>
              </w:rPr>
              <w:t>论文</w:t>
            </w:r>
          </w:p>
          <w:p>
            <w:pPr>
              <w:pStyle w:val="7"/>
              <w:adjustRightInd w:val="0"/>
              <w:snapToGrid w:val="0"/>
              <w:jc w:val="center"/>
              <w:rPr>
                <w:rFonts w:ascii="黑体" w:hAnsi="宋体" w:eastAsia="黑体" w:cs="宋体"/>
              </w:rPr>
            </w:pPr>
            <w:r>
              <w:rPr>
                <w:rFonts w:hint="eastAsia" w:ascii="黑体" w:hAnsi="宋体" w:eastAsia="黑体" w:cs="宋体"/>
              </w:rPr>
              <w:t>规范</w:t>
            </w:r>
          </w:p>
        </w:tc>
        <w:tc>
          <w:tcPr>
            <w:tcW w:w="2009" w:type="dxa"/>
            <w:vAlign w:val="center"/>
          </w:tcPr>
          <w:p>
            <w:pPr>
              <w:pStyle w:val="7"/>
              <w:adjustRightInd w:val="0"/>
              <w:snapToGrid w:val="0"/>
              <w:rPr>
                <w:rFonts w:hAnsi="宋体" w:cs="宋体"/>
                <w:w w:val="90"/>
              </w:rPr>
            </w:pPr>
            <w:r>
              <w:rPr>
                <w:rFonts w:hint="eastAsia" w:hAnsi="宋体" w:cs="宋体"/>
                <w:w w:val="90"/>
              </w:rPr>
              <w:t>论文结构严谨，逻辑性强，论述层次清晰，语言准确，文字流畅，完全符合规范化要求</w:t>
            </w:r>
          </w:p>
        </w:tc>
        <w:tc>
          <w:tcPr>
            <w:tcW w:w="1843" w:type="dxa"/>
            <w:vAlign w:val="center"/>
          </w:tcPr>
          <w:p>
            <w:pPr>
              <w:pStyle w:val="7"/>
              <w:adjustRightInd w:val="0"/>
              <w:snapToGrid w:val="0"/>
              <w:rPr>
                <w:rFonts w:hAnsi="宋体" w:cs="宋体"/>
                <w:w w:val="90"/>
              </w:rPr>
            </w:pPr>
            <w:r>
              <w:rPr>
                <w:rFonts w:hint="eastAsia" w:hAnsi="宋体" w:cs="宋体"/>
                <w:w w:val="90"/>
              </w:rPr>
              <w:t>论文结构合理，符合逻辑，文章层次分明，语言准确，文字流畅，达到规范化要求</w:t>
            </w:r>
          </w:p>
        </w:tc>
        <w:tc>
          <w:tcPr>
            <w:tcW w:w="1701" w:type="dxa"/>
            <w:vAlign w:val="center"/>
          </w:tcPr>
          <w:p>
            <w:pPr>
              <w:pStyle w:val="7"/>
              <w:adjustRightInd w:val="0"/>
              <w:snapToGrid w:val="0"/>
              <w:rPr>
                <w:rFonts w:hAnsi="宋体" w:cs="宋体"/>
                <w:w w:val="90"/>
              </w:rPr>
            </w:pPr>
            <w:r>
              <w:rPr>
                <w:rFonts w:hint="eastAsia" w:hAnsi="宋体" w:cs="宋体"/>
                <w:w w:val="90"/>
              </w:rPr>
              <w:t>论文结构基本合理，层次较为分明，文理通顺，基本达到规范化要求</w:t>
            </w:r>
          </w:p>
        </w:tc>
        <w:tc>
          <w:tcPr>
            <w:tcW w:w="1275" w:type="dxa"/>
            <w:vAlign w:val="center"/>
          </w:tcPr>
          <w:p>
            <w:pPr>
              <w:pStyle w:val="7"/>
              <w:adjustRightInd w:val="0"/>
              <w:snapToGrid w:val="0"/>
              <w:rPr>
                <w:rFonts w:hAnsi="宋体" w:cs="宋体"/>
                <w:w w:val="90"/>
              </w:rPr>
            </w:pPr>
            <w:r>
              <w:rPr>
                <w:rFonts w:hint="eastAsia" w:hAnsi="宋体" w:cs="宋体"/>
                <w:w w:val="90"/>
              </w:rPr>
              <w:t>论文结构基本合理，论证基本清楚，文字尚通顺，免强达到规范化要求</w:t>
            </w:r>
          </w:p>
        </w:tc>
        <w:tc>
          <w:tcPr>
            <w:tcW w:w="1560" w:type="dxa"/>
            <w:vAlign w:val="center"/>
          </w:tcPr>
          <w:p>
            <w:pPr>
              <w:pStyle w:val="7"/>
              <w:adjustRightInd w:val="0"/>
              <w:snapToGrid w:val="0"/>
              <w:rPr>
                <w:rFonts w:hAnsi="宋体" w:cs="宋体"/>
                <w:w w:val="90"/>
              </w:rPr>
            </w:pPr>
            <w:r>
              <w:rPr>
                <w:rFonts w:hint="eastAsia" w:hAnsi="宋体" w:cs="宋体"/>
                <w:w w:val="90"/>
              </w:rPr>
              <w:t>内容空泛，结构混乱，文字表达不清，错别字较多，达不到规范化要求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999" w:type="dxa"/>
            <w:vAlign w:val="center"/>
          </w:tcPr>
          <w:p>
            <w:pPr>
              <w:pStyle w:val="7"/>
              <w:adjustRightInd w:val="0"/>
              <w:snapToGrid w:val="0"/>
              <w:jc w:val="center"/>
              <w:rPr>
                <w:rFonts w:hAnsi="宋体" w:eastAsia="黑体" w:cs="宋体"/>
              </w:rPr>
            </w:pPr>
            <w:r>
              <w:rPr>
                <w:rFonts w:hint="eastAsia" w:hAnsi="宋体" w:eastAsia="黑体" w:cs="宋体"/>
              </w:rPr>
              <w:t>答辩</w:t>
            </w:r>
          </w:p>
          <w:p>
            <w:pPr>
              <w:pStyle w:val="7"/>
              <w:adjustRightInd w:val="0"/>
              <w:snapToGrid w:val="0"/>
              <w:jc w:val="center"/>
              <w:rPr>
                <w:rFonts w:hAnsi="宋体" w:eastAsia="黑体" w:cs="宋体"/>
              </w:rPr>
            </w:pPr>
            <w:r>
              <w:rPr>
                <w:rFonts w:hint="eastAsia" w:hAnsi="宋体" w:eastAsia="黑体" w:cs="宋体"/>
              </w:rPr>
              <w:t>情况</w:t>
            </w:r>
          </w:p>
        </w:tc>
        <w:tc>
          <w:tcPr>
            <w:tcW w:w="2009" w:type="dxa"/>
            <w:vAlign w:val="center"/>
          </w:tcPr>
          <w:p>
            <w:pPr>
              <w:pStyle w:val="7"/>
              <w:adjustRightInd w:val="0"/>
              <w:snapToGrid w:val="0"/>
              <w:rPr>
                <w:rFonts w:hAnsi="宋体" w:cs="宋体"/>
                <w:w w:val="90"/>
              </w:rPr>
            </w:pPr>
            <w:r>
              <w:rPr>
                <w:rFonts w:hint="eastAsia" w:hAnsi="宋体" w:cs="宋体"/>
                <w:w w:val="90"/>
              </w:rPr>
              <w:t>能简明扼要、重点突出地阐述论文的主要内容，能准确流利地回答各种问题</w:t>
            </w:r>
          </w:p>
        </w:tc>
        <w:tc>
          <w:tcPr>
            <w:tcW w:w="1843" w:type="dxa"/>
            <w:vAlign w:val="center"/>
          </w:tcPr>
          <w:p>
            <w:pPr>
              <w:pStyle w:val="7"/>
              <w:adjustRightInd w:val="0"/>
              <w:snapToGrid w:val="0"/>
              <w:rPr>
                <w:rFonts w:hAnsi="宋体" w:cs="宋体"/>
                <w:w w:val="90"/>
              </w:rPr>
            </w:pPr>
            <w:r>
              <w:rPr>
                <w:rFonts w:hint="eastAsia" w:hAnsi="宋体" w:cs="宋体"/>
                <w:w w:val="90"/>
              </w:rPr>
              <w:t>能比较流利、清晰地阐述论文的主要内容，能较恰当地回答与论文有关的问题</w:t>
            </w:r>
          </w:p>
        </w:tc>
        <w:tc>
          <w:tcPr>
            <w:tcW w:w="1701" w:type="dxa"/>
            <w:vAlign w:val="center"/>
          </w:tcPr>
          <w:p>
            <w:pPr>
              <w:pStyle w:val="7"/>
              <w:adjustRightInd w:val="0"/>
              <w:snapToGrid w:val="0"/>
              <w:rPr>
                <w:rFonts w:hAnsi="宋体" w:cs="宋体"/>
                <w:w w:val="90"/>
              </w:rPr>
            </w:pPr>
            <w:r>
              <w:rPr>
                <w:rFonts w:hint="eastAsia" w:hAnsi="宋体" w:cs="宋体"/>
                <w:w w:val="90"/>
              </w:rPr>
              <w:t>基本能叙述出论文的主要内容，对提出的主要问题一般能回答，无原则错误</w:t>
            </w:r>
          </w:p>
        </w:tc>
        <w:tc>
          <w:tcPr>
            <w:tcW w:w="1275" w:type="dxa"/>
            <w:vAlign w:val="center"/>
          </w:tcPr>
          <w:p>
            <w:pPr>
              <w:pStyle w:val="7"/>
              <w:adjustRightInd w:val="0"/>
              <w:snapToGrid w:val="0"/>
              <w:rPr>
                <w:rFonts w:hAnsi="宋体" w:cs="宋体"/>
                <w:w w:val="90"/>
              </w:rPr>
            </w:pPr>
            <w:r>
              <w:rPr>
                <w:rFonts w:hint="eastAsia" w:hAnsi="宋体" w:cs="宋体"/>
                <w:w w:val="90"/>
              </w:rPr>
              <w:t>能阐明自己的基本观点，答辩错误经提示后能作补充或进行纠正</w:t>
            </w:r>
          </w:p>
        </w:tc>
        <w:tc>
          <w:tcPr>
            <w:tcW w:w="1560" w:type="dxa"/>
            <w:vAlign w:val="center"/>
          </w:tcPr>
          <w:p>
            <w:pPr>
              <w:pStyle w:val="7"/>
              <w:adjustRightInd w:val="0"/>
              <w:snapToGrid w:val="0"/>
              <w:rPr>
                <w:rFonts w:hAnsi="宋体" w:cs="宋体"/>
                <w:w w:val="80"/>
              </w:rPr>
            </w:pPr>
            <w:r>
              <w:rPr>
                <w:rFonts w:hint="eastAsia" w:hAnsi="宋体" w:cs="宋体"/>
                <w:w w:val="80"/>
              </w:rPr>
              <w:t>不能阐明自己的基本观点，主要问题答不出或有原则错误，经提示后仍不能回答有关问题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99" w:type="dxa"/>
            <w:vAlign w:val="center"/>
          </w:tcPr>
          <w:p>
            <w:pPr>
              <w:pStyle w:val="7"/>
              <w:adjustRightInd w:val="0"/>
              <w:snapToGrid w:val="0"/>
              <w:jc w:val="center"/>
              <w:rPr>
                <w:rFonts w:hAnsi="宋体" w:eastAsia="黑体" w:cs="宋体"/>
              </w:rPr>
            </w:pPr>
            <w:r>
              <w:rPr>
                <w:rFonts w:hint="eastAsia" w:hAnsi="宋体" w:eastAsia="黑体" w:cs="宋体"/>
              </w:rPr>
              <w:t>学习</w:t>
            </w:r>
          </w:p>
          <w:p>
            <w:pPr>
              <w:pStyle w:val="7"/>
              <w:adjustRightInd w:val="0"/>
              <w:snapToGrid w:val="0"/>
              <w:jc w:val="center"/>
              <w:rPr>
                <w:rFonts w:hAnsi="宋体" w:eastAsia="黑体" w:cs="宋体"/>
              </w:rPr>
            </w:pPr>
            <w:r>
              <w:rPr>
                <w:rFonts w:hint="eastAsia" w:hAnsi="宋体" w:eastAsia="黑体" w:cs="宋体"/>
              </w:rPr>
              <w:t>态度</w:t>
            </w:r>
          </w:p>
        </w:tc>
        <w:tc>
          <w:tcPr>
            <w:tcW w:w="2009" w:type="dxa"/>
            <w:vAlign w:val="center"/>
          </w:tcPr>
          <w:p>
            <w:pPr>
              <w:pStyle w:val="7"/>
              <w:adjustRightInd w:val="0"/>
              <w:snapToGrid w:val="0"/>
              <w:rPr>
                <w:rFonts w:hAnsi="宋体" w:cs="宋体"/>
                <w:w w:val="90"/>
              </w:rPr>
            </w:pPr>
            <w:r>
              <w:rPr>
                <w:rFonts w:hint="eastAsia" w:hAnsi="宋体" w:cs="宋体"/>
                <w:w w:val="90"/>
              </w:rPr>
              <w:t>学习态度认真，科学作风严谨，严格保证设计时间并按任务书中规定的进度开展各项工作</w:t>
            </w:r>
          </w:p>
        </w:tc>
        <w:tc>
          <w:tcPr>
            <w:tcW w:w="1843" w:type="dxa"/>
            <w:vAlign w:val="center"/>
          </w:tcPr>
          <w:p>
            <w:pPr>
              <w:pStyle w:val="7"/>
              <w:adjustRightInd w:val="0"/>
              <w:snapToGrid w:val="0"/>
              <w:rPr>
                <w:rFonts w:hAnsi="宋体" w:cs="宋体"/>
                <w:w w:val="90"/>
              </w:rPr>
            </w:pPr>
            <w:r>
              <w:rPr>
                <w:rFonts w:hint="eastAsia" w:hAnsi="宋体" w:cs="宋体"/>
                <w:w w:val="90"/>
              </w:rPr>
              <w:t>学习态度比较认真，科学作风良好，能按期完成任务书规定的任务</w:t>
            </w:r>
          </w:p>
        </w:tc>
        <w:tc>
          <w:tcPr>
            <w:tcW w:w="1701" w:type="dxa"/>
            <w:vAlign w:val="center"/>
          </w:tcPr>
          <w:p>
            <w:pPr>
              <w:pStyle w:val="7"/>
              <w:adjustRightInd w:val="0"/>
              <w:snapToGrid w:val="0"/>
              <w:rPr>
                <w:rFonts w:hAnsi="宋体" w:cs="宋体"/>
                <w:w w:val="90"/>
              </w:rPr>
            </w:pPr>
            <w:r>
              <w:rPr>
                <w:rFonts w:hint="eastAsia" w:hAnsi="宋体" w:cs="宋体"/>
                <w:w w:val="90"/>
              </w:rPr>
              <w:t>学习态度尚好，遵守组织纪律，基本保证设计时间，按期完成各项工作</w:t>
            </w:r>
          </w:p>
        </w:tc>
        <w:tc>
          <w:tcPr>
            <w:tcW w:w="1275" w:type="dxa"/>
            <w:vAlign w:val="center"/>
          </w:tcPr>
          <w:p>
            <w:pPr>
              <w:pStyle w:val="7"/>
              <w:adjustRightInd w:val="0"/>
              <w:snapToGrid w:val="0"/>
              <w:rPr>
                <w:rFonts w:hAnsi="宋体" w:cs="宋体"/>
                <w:w w:val="90"/>
              </w:rPr>
            </w:pPr>
            <w:r>
              <w:rPr>
                <w:rFonts w:hint="eastAsia" w:hAnsi="宋体" w:cs="宋体"/>
                <w:w w:val="90"/>
              </w:rPr>
              <w:t>学习态度尚可，在指导教师的帮助下能按期完成任务</w:t>
            </w:r>
          </w:p>
        </w:tc>
        <w:tc>
          <w:tcPr>
            <w:tcW w:w="1560" w:type="dxa"/>
            <w:vAlign w:val="center"/>
          </w:tcPr>
          <w:p>
            <w:pPr>
              <w:pStyle w:val="7"/>
              <w:adjustRightInd w:val="0"/>
              <w:snapToGrid w:val="0"/>
              <w:rPr>
                <w:rFonts w:hAnsi="宋体" w:cs="宋体"/>
                <w:w w:val="90"/>
              </w:rPr>
            </w:pPr>
            <w:r>
              <w:rPr>
                <w:rFonts w:hint="eastAsia" w:hAnsi="宋体" w:cs="宋体"/>
                <w:w w:val="90"/>
              </w:rPr>
              <w:t>学习马虎，纪律涣散，工作作风不严谨，不能保证设计时间和进度</w:t>
            </w:r>
          </w:p>
        </w:tc>
      </w:tr>
    </w:tbl>
    <w:p>
      <w:pPr>
        <w:pStyle w:val="7"/>
        <w:adjustRightInd w:val="0"/>
        <w:snapToGrid w:val="0"/>
        <w:spacing w:line="360" w:lineRule="auto"/>
        <w:jc w:val="center"/>
        <w:outlineLvl w:val="0"/>
        <w:rPr>
          <w:rFonts w:ascii="方正小标宋简体" w:hAnsi="宋体" w:eastAsia="方正小标宋简体" w:cs="宋体"/>
          <w:b/>
          <w:sz w:val="28"/>
          <w:szCs w:val="28"/>
        </w:rPr>
      </w:pPr>
      <w:r>
        <w:rPr>
          <w:rFonts w:hAnsi="宋体" w:cs="宋体"/>
          <w:sz w:val="24"/>
          <w:szCs w:val="24"/>
        </w:rPr>
        <w:br w:type="page"/>
      </w:r>
      <w:r>
        <w:rPr>
          <w:rFonts w:hint="eastAsia" w:ascii="方正小标宋简体" w:hAnsi="宋体" w:eastAsia="方正小标宋简体" w:cs="宋体"/>
          <w:b/>
          <w:sz w:val="28"/>
          <w:szCs w:val="28"/>
        </w:rPr>
        <w:t>内江师范学院本科毕业论文评价标准(文、史、法、管、教育类)</w:t>
      </w:r>
    </w:p>
    <w:tbl>
      <w:tblPr>
        <w:tblStyle w:val="15"/>
        <w:tblW w:w="90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0"/>
        <w:gridCol w:w="1640"/>
        <w:gridCol w:w="1640"/>
        <w:gridCol w:w="164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51" w:type="dxa"/>
            <w:vMerge w:val="restart"/>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项目</w:t>
            </w:r>
          </w:p>
        </w:tc>
        <w:tc>
          <w:tcPr>
            <w:tcW w:w="8201" w:type="dxa"/>
            <w:gridSpan w:val="5"/>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51" w:type="dxa"/>
            <w:vMerge w:val="continue"/>
            <w:vAlign w:val="center"/>
          </w:tcPr>
          <w:p>
            <w:pPr>
              <w:pStyle w:val="7"/>
              <w:adjustRightInd w:val="0"/>
              <w:snapToGrid w:val="0"/>
              <w:ind w:leftChars="-1" w:hanging="2" w:hangingChars="1"/>
              <w:jc w:val="center"/>
              <w:rPr>
                <w:rFonts w:ascii="黑体" w:hAnsi="宋体" w:eastAsia="黑体" w:cs="宋体"/>
              </w:rPr>
            </w:pPr>
          </w:p>
        </w:tc>
        <w:tc>
          <w:tcPr>
            <w:tcW w:w="1640" w:type="dxa"/>
            <w:vAlign w:val="center"/>
          </w:tcPr>
          <w:p>
            <w:pPr>
              <w:jc w:val="center"/>
            </w:pPr>
            <w:r>
              <w:t>90-100</w:t>
            </w:r>
          </w:p>
        </w:tc>
        <w:tc>
          <w:tcPr>
            <w:tcW w:w="1640" w:type="dxa"/>
            <w:vAlign w:val="center"/>
          </w:tcPr>
          <w:p>
            <w:pPr>
              <w:jc w:val="center"/>
            </w:pPr>
            <w:r>
              <w:t>80-89</w:t>
            </w:r>
          </w:p>
        </w:tc>
        <w:tc>
          <w:tcPr>
            <w:tcW w:w="1640" w:type="dxa"/>
            <w:vAlign w:val="center"/>
          </w:tcPr>
          <w:p>
            <w:pPr>
              <w:jc w:val="center"/>
            </w:pPr>
            <w:r>
              <w:t>70-79</w:t>
            </w:r>
          </w:p>
        </w:tc>
        <w:tc>
          <w:tcPr>
            <w:tcW w:w="1640" w:type="dxa"/>
            <w:vAlign w:val="center"/>
          </w:tcPr>
          <w:p>
            <w:pPr>
              <w:jc w:val="center"/>
            </w:pPr>
            <w:r>
              <w:t>60-69</w:t>
            </w:r>
          </w:p>
        </w:tc>
        <w:tc>
          <w:tcPr>
            <w:tcW w:w="1641" w:type="dxa"/>
            <w:vAlign w:val="center"/>
          </w:tcPr>
          <w:p>
            <w:pPr>
              <w:jc w:val="center"/>
            </w:pPr>
            <w: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文献</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阅读</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与</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文献</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综述</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除全部阅读教师指定的参考资料、文献外，还阅读较多的自选资料，并认真写出三千字以上的文献综述</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除全部阅读教师指定的参考资料、文献外，还能阅读一定的自选资料，并认真写出三千字以上的文献综述</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阅读了教师指定的参考资料、文献，并能写出三千字以上的文献综述</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能阅读教师指定的参考资料，写出三千字以上的文献综述</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未完成阅读任务或文献综述不符合要求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学术</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水平</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与</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创新</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论文有独到的见解，富有新意或对某些问题有较深刻的分析，有较高的学术水平或较大的实用价值</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论文有一定的见解，或对某一问题分析较深，有一定的学术水平或实用价值</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论文能提出自己的看法，选题有一定的价值，内容能理论联系实际</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选题有一定的价值，论文能提出自己的看法</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论题不能成立或有重大毛病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论证</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能力</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论点鲜明，论据确凿，论文表现出对实际问题有较强的分析能力和概括能力，文章材料翔实可靠，有说服力</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论点正确，论据可靠，对事物有一定的分析能力和概括能力，能运用所学理论和知识阐述有关问题</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观点正确，论述有理有据，材料能说明观点，面也比较宽</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观点基本正确，并能对观点进行一定的论述</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基本观点有错误或主要材料不能说明观点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论文</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规范</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论文结构严谨，逻辑性强，论述层次清晰，语句通顺，语言准确、生动，论文完全符合规范化要求</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论文结构合理，符合逻辑，文章层次分明，语言通顺、准确，达到规范化要求</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论文结构基本合理，层次比较清晰，文理通顺，基本达到规范化要求</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论文结构基本合理，论证基本清晰，免强达到规范化要求</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内容空泛，结构混乱，文字表达不清，文题不符或文理不通，有抄袭现象，达不到规范化要求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答辩</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情况</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能简明扼要地阐述论文的主要内容，能准确流利地回答各种问题</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能比较流利、清晰地阐述论文的主要内容，能较恰当地回答与论文有关的问题</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能叙述出论文的主要内容，对提出的主要问题一般能回答，无原则错误</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能阐明自己的基本观点，答辩错误经提示后能作补充说明或进行纠正</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不能阐明自己的基本观点，主要问题答不出或错误较多，经提示后仍不能正确回答有关问题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851" w:type="dxa"/>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学习</w:t>
            </w:r>
          </w:p>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态度</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学习态度认真，科学作风严谨，严格保证设计时间并按任务书中规定的进度开展各项工作</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学习态度比较认真，科学作风良好，能按期完成任务书规定的任务</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学习态度尚好，遵守组织纪律，基本保证设计时间，按期完成各项工作</w:t>
            </w:r>
          </w:p>
        </w:tc>
        <w:tc>
          <w:tcPr>
            <w:tcW w:w="1640" w:type="dxa"/>
            <w:vAlign w:val="center"/>
          </w:tcPr>
          <w:p>
            <w:pPr>
              <w:pStyle w:val="7"/>
              <w:adjustRightInd w:val="0"/>
              <w:snapToGrid w:val="0"/>
              <w:ind w:leftChars="-1" w:hanging="1" w:hangingChars="1"/>
              <w:rPr>
                <w:rFonts w:hAnsi="宋体" w:cs="宋体"/>
                <w:w w:val="90"/>
              </w:rPr>
            </w:pPr>
            <w:r>
              <w:rPr>
                <w:rFonts w:hint="eastAsia" w:hAnsi="宋体" w:cs="宋体"/>
                <w:w w:val="90"/>
              </w:rPr>
              <w:t>学习态度尚可，在指导教师的帮助下能按期完成任务</w:t>
            </w:r>
          </w:p>
        </w:tc>
        <w:tc>
          <w:tcPr>
            <w:tcW w:w="1641" w:type="dxa"/>
            <w:vAlign w:val="center"/>
          </w:tcPr>
          <w:p>
            <w:pPr>
              <w:pStyle w:val="7"/>
              <w:adjustRightInd w:val="0"/>
              <w:snapToGrid w:val="0"/>
              <w:ind w:leftChars="-1" w:hanging="1" w:hangingChars="1"/>
              <w:rPr>
                <w:rFonts w:hAnsi="宋体" w:cs="宋体"/>
                <w:w w:val="90"/>
              </w:rPr>
            </w:pPr>
            <w:r>
              <w:rPr>
                <w:rFonts w:hint="eastAsia" w:hAnsi="宋体" w:cs="宋体"/>
                <w:w w:val="90"/>
              </w:rPr>
              <w:t>学习马虎，纪律涣散，工作作风不严谨，不能保证设计时间和进度</w:t>
            </w:r>
          </w:p>
        </w:tc>
      </w:tr>
    </w:tbl>
    <w:p>
      <w:pPr>
        <w:pStyle w:val="7"/>
        <w:adjustRightInd w:val="0"/>
        <w:snapToGrid w:val="0"/>
        <w:spacing w:line="360" w:lineRule="auto"/>
        <w:jc w:val="center"/>
        <w:outlineLvl w:val="0"/>
        <w:rPr>
          <w:rFonts w:ascii="方正小标宋简体" w:hAnsi="宋体" w:eastAsia="方正小标宋简体" w:cs="宋体"/>
          <w:sz w:val="28"/>
          <w:szCs w:val="28"/>
        </w:rPr>
      </w:pPr>
    </w:p>
    <w:p>
      <w:pPr>
        <w:pStyle w:val="7"/>
        <w:adjustRightInd w:val="0"/>
        <w:snapToGrid w:val="0"/>
        <w:spacing w:line="360" w:lineRule="auto"/>
        <w:jc w:val="center"/>
        <w:outlineLvl w:val="0"/>
        <w:rPr>
          <w:rFonts w:ascii="方正小标宋简体" w:hAnsi="宋体" w:eastAsia="方正小标宋简体" w:cs="宋体"/>
          <w:b/>
          <w:sz w:val="28"/>
          <w:szCs w:val="28"/>
        </w:rPr>
      </w:pPr>
      <w:r>
        <w:rPr>
          <w:rFonts w:hint="eastAsia" w:ascii="方正小标宋简体" w:hAnsi="宋体" w:eastAsia="方正小标宋简体" w:cs="宋体"/>
          <w:b/>
          <w:sz w:val="28"/>
          <w:szCs w:val="28"/>
        </w:rPr>
        <w:t>内江师范学院本科毕业论文评价标准(艺术类)</w:t>
      </w:r>
    </w:p>
    <w:tbl>
      <w:tblPr>
        <w:tblStyle w:val="15"/>
        <w:tblW w:w="9180" w:type="dxa"/>
        <w:tblInd w:w="196" w:type="dxa"/>
        <w:shd w:val="clear" w:color="auto" w:fill="FFFFFF"/>
        <w:tblLayout w:type="fixed"/>
        <w:tblCellMar>
          <w:top w:w="0" w:type="dxa"/>
          <w:left w:w="0" w:type="dxa"/>
          <w:bottom w:w="0" w:type="dxa"/>
          <w:right w:w="0" w:type="dxa"/>
        </w:tblCellMar>
      </w:tblPr>
      <w:tblGrid>
        <w:gridCol w:w="710"/>
        <w:gridCol w:w="1134"/>
        <w:gridCol w:w="1577"/>
        <w:gridCol w:w="1413"/>
        <w:gridCol w:w="1413"/>
        <w:gridCol w:w="1413"/>
        <w:gridCol w:w="1520"/>
      </w:tblGrid>
      <w:tr>
        <w:tblPrEx>
          <w:shd w:val="clear" w:color="auto" w:fill="FFFFFF"/>
          <w:tblLayout w:type="fixed"/>
          <w:tblCellMar>
            <w:top w:w="0" w:type="dxa"/>
            <w:left w:w="0" w:type="dxa"/>
            <w:bottom w:w="0" w:type="dxa"/>
            <w:right w:w="0" w:type="dxa"/>
          </w:tblCellMar>
        </w:tblPrEx>
        <w:trPr>
          <w:trHeight w:val="510" w:hRule="atLeast"/>
        </w:trPr>
        <w:tc>
          <w:tcPr>
            <w:tcW w:w="710"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jc w:val="center"/>
              <w:rPr>
                <w:rFonts w:ascii="黑体" w:hAnsi="宋体" w:eastAsia="黑体" w:cs="宋体"/>
              </w:rPr>
            </w:pPr>
            <w:r>
              <w:rPr>
                <w:rFonts w:hint="eastAsia" w:ascii="黑体" w:hAnsi="宋体" w:eastAsia="黑体" w:cs="宋体"/>
              </w:rPr>
              <w:t>评分对象</w:t>
            </w:r>
          </w:p>
        </w:tc>
        <w:tc>
          <w:tcPr>
            <w:tcW w:w="1134"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pStyle w:val="7"/>
              <w:adjustRightInd w:val="0"/>
              <w:snapToGrid w:val="0"/>
              <w:ind w:leftChars="-1" w:hanging="2" w:hangingChars="1"/>
              <w:jc w:val="center"/>
              <w:rPr>
                <w:rFonts w:ascii="黑体" w:hAnsi="宋体" w:eastAsia="黑体" w:cs="宋体"/>
                <w:szCs w:val="24"/>
              </w:rPr>
            </w:pPr>
            <w:r>
              <w:rPr>
                <w:rFonts w:hint="eastAsia" w:ascii="黑体" w:hAnsi="宋体" w:eastAsia="黑体" w:cs="宋体"/>
                <w:szCs w:val="24"/>
              </w:rPr>
              <w:t>项目</w:t>
            </w:r>
          </w:p>
        </w:tc>
        <w:tc>
          <w:tcPr>
            <w:tcW w:w="7336" w:type="dxa"/>
            <w:gridSpan w:val="5"/>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jc w:val="center"/>
              <w:rPr>
                <w:rFonts w:ascii="黑体" w:hAnsi="宋体" w:eastAsia="黑体" w:cs="宋体"/>
              </w:rPr>
            </w:pPr>
            <w:r>
              <w:rPr>
                <w:rFonts w:hint="eastAsia" w:ascii="黑体" w:hAnsi="宋体" w:eastAsia="黑体" w:cs="宋体"/>
              </w:rPr>
              <w:t>参考标准</w:t>
            </w:r>
          </w:p>
        </w:tc>
      </w:tr>
      <w:tr>
        <w:tblPrEx>
          <w:tblLayout w:type="fixed"/>
          <w:tblCellMar>
            <w:top w:w="0" w:type="dxa"/>
            <w:left w:w="0" w:type="dxa"/>
            <w:bottom w:w="0" w:type="dxa"/>
            <w:right w:w="0" w:type="dxa"/>
          </w:tblCellMar>
        </w:tblPrEx>
        <w:trPr>
          <w:trHeight w:val="510" w:hRule="atLeast"/>
        </w:trPr>
        <w:tc>
          <w:tcPr>
            <w:tcW w:w="710"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jc w:val="center"/>
              <w:rPr>
                <w:rFonts w:ascii="黑体" w:hAnsi="宋体" w:eastAsia="黑体" w:cs="宋体"/>
              </w:rPr>
            </w:pPr>
          </w:p>
        </w:tc>
        <w:tc>
          <w:tcPr>
            <w:tcW w:w="1134"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adjustRightInd w:val="0"/>
              <w:snapToGrid w:val="0"/>
              <w:ind w:leftChars="-1" w:hanging="2" w:hangingChars="1"/>
              <w:jc w:val="center"/>
              <w:rPr>
                <w:rFonts w:ascii="黑体" w:hAnsi="宋体" w:eastAsia="黑体" w:cs="宋体"/>
                <w:szCs w:val="24"/>
              </w:rPr>
            </w:pPr>
          </w:p>
        </w:tc>
        <w:tc>
          <w:tcPr>
            <w:tcW w:w="1577"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t>90-100</w:t>
            </w:r>
          </w:p>
        </w:tc>
        <w:tc>
          <w:tcPr>
            <w:tcW w:w="1413" w:type="dxa"/>
            <w:tcBorders>
              <w:top w:val="single" w:color="auto" w:sz="4"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jc w:val="center"/>
            </w:pPr>
            <w:r>
              <w:t>80-89</w:t>
            </w:r>
          </w:p>
        </w:tc>
        <w:tc>
          <w:tcPr>
            <w:tcW w:w="1413" w:type="dxa"/>
            <w:tcBorders>
              <w:top w:val="single" w:color="auto" w:sz="4" w:space="0"/>
              <w:left w:val="single" w:color="auto" w:sz="4" w:space="0"/>
              <w:bottom w:val="single" w:color="auto" w:sz="8" w:space="0"/>
              <w:right w:val="single" w:color="auto" w:sz="4" w:space="0"/>
            </w:tcBorders>
            <w:shd w:val="clear" w:color="auto" w:fill="FFFFFF"/>
            <w:vAlign w:val="center"/>
          </w:tcPr>
          <w:p>
            <w:pPr>
              <w:jc w:val="center"/>
            </w:pPr>
            <w:r>
              <w:t>70-79</w:t>
            </w:r>
          </w:p>
        </w:tc>
        <w:tc>
          <w:tcPr>
            <w:tcW w:w="1413" w:type="dxa"/>
            <w:tcBorders>
              <w:top w:val="single" w:color="auto" w:sz="4" w:space="0"/>
              <w:left w:val="single" w:color="auto" w:sz="4" w:space="0"/>
              <w:bottom w:val="single" w:color="auto" w:sz="8" w:space="0"/>
              <w:right w:val="single" w:color="auto" w:sz="8" w:space="0"/>
            </w:tcBorders>
            <w:shd w:val="clear" w:color="auto" w:fill="FFFFFF"/>
            <w:vAlign w:val="center"/>
          </w:tcPr>
          <w:p>
            <w:pPr>
              <w:jc w:val="center"/>
            </w:pPr>
            <w:r>
              <w:t>60-69</w:t>
            </w:r>
          </w:p>
        </w:tc>
        <w:tc>
          <w:tcPr>
            <w:tcW w:w="152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t>&lt;60</w:t>
            </w:r>
          </w:p>
        </w:tc>
      </w:tr>
      <w:tr>
        <w:tblPrEx>
          <w:tblLayout w:type="fixed"/>
          <w:tblCellMar>
            <w:top w:w="0" w:type="dxa"/>
            <w:left w:w="0" w:type="dxa"/>
            <w:bottom w:w="0" w:type="dxa"/>
            <w:right w:w="0" w:type="dxa"/>
          </w:tblCellMar>
        </w:tblPrEx>
        <w:trPr>
          <w:trHeight w:val="1035" w:hRule="atLeast"/>
        </w:trPr>
        <w:tc>
          <w:tcPr>
            <w:tcW w:w="71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adjustRightInd w:val="0"/>
              <w:snapToGrid w:val="0"/>
              <w:ind w:leftChars="-1" w:hanging="2" w:hangingChars="1"/>
              <w:jc w:val="center"/>
              <w:rPr>
                <w:rFonts w:hAnsi="宋体" w:cs="宋体"/>
                <w:w w:val="90"/>
              </w:rPr>
            </w:pPr>
            <w:r>
              <w:rPr>
                <w:rFonts w:hint="eastAsia" w:ascii="黑体" w:hAnsi="宋体" w:eastAsia="黑体" w:cs="宋体"/>
              </w:rPr>
              <w:t>作  品</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艺术性</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主题有新意，有很强的表现力和感染力</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主题有新意，有较强的表现力和感染力</w:t>
            </w:r>
          </w:p>
        </w:tc>
        <w:tc>
          <w:tcPr>
            <w:tcW w:w="1413" w:type="dxa"/>
            <w:tcBorders>
              <w:top w:val="nil"/>
              <w:left w:val="single" w:color="auto" w:sz="4" w:space="0"/>
              <w:bottom w:val="single" w:color="auto" w:sz="8" w:space="0"/>
              <w:right w:val="single" w:color="auto" w:sz="4" w:space="0"/>
            </w:tcBorders>
            <w:shd w:val="clear" w:color="auto" w:fill="FFFFFF"/>
          </w:tcPr>
          <w:p>
            <w:pPr>
              <w:widowControl/>
              <w:adjustRightInd w:val="0"/>
              <w:snapToGrid w:val="0"/>
              <w:rPr>
                <w:rFonts w:ascii="宋体" w:hAnsi="宋体" w:cs="宋体"/>
                <w:w w:val="90"/>
                <w:szCs w:val="21"/>
              </w:rPr>
            </w:pPr>
            <w:r>
              <w:rPr>
                <w:rFonts w:hint="eastAsia" w:ascii="宋体" w:hAnsi="宋体" w:cs="宋体"/>
                <w:w w:val="90"/>
                <w:szCs w:val="21"/>
              </w:rPr>
              <w:t>主题明确，表现力和感染力一般</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主题明确，表现形式与内容与主题一致</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主题无新意，内容陈旧。没有艺术感染力</w:t>
            </w:r>
          </w:p>
        </w:tc>
      </w:tr>
      <w:tr>
        <w:tblPrEx>
          <w:tblLayout w:type="fixed"/>
          <w:tblCellMar>
            <w:top w:w="0" w:type="dxa"/>
            <w:left w:w="0" w:type="dxa"/>
            <w:bottom w:w="0" w:type="dxa"/>
            <w:right w:w="0" w:type="dxa"/>
          </w:tblCellMar>
        </w:tblPrEx>
        <w:trPr>
          <w:trHeight w:val="1521" w:hRule="atLeast"/>
        </w:trPr>
        <w:tc>
          <w:tcPr>
            <w:tcW w:w="710"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w w:val="9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创新性</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善于运用新视角、新方法进行探索，创作形式和内容新颖</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较好地运用新视角、新方法进行探索，创作形式和内容有创意</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能够运用新视角、新方法进行探索，创作形式和内容一般</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能够进行有效性探索，创作形式一般，创意欠佳</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不善运用新视角、新方法进行探索，创作形式和内容达不到要求</w:t>
            </w:r>
          </w:p>
        </w:tc>
      </w:tr>
      <w:tr>
        <w:tblPrEx>
          <w:tblLayout w:type="fixed"/>
          <w:tblCellMar>
            <w:top w:w="0" w:type="dxa"/>
            <w:left w:w="0" w:type="dxa"/>
            <w:bottom w:w="0" w:type="dxa"/>
            <w:right w:w="0" w:type="dxa"/>
          </w:tblCellMar>
        </w:tblPrEx>
        <w:trPr>
          <w:trHeight w:val="2349" w:hRule="atLeast"/>
        </w:trPr>
        <w:tc>
          <w:tcPr>
            <w:tcW w:w="710"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w w:val="9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专业性（应用性）</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作品中能完整地体现出专业能力。作品对专业实践具有实际指导意义或有较好的社会效益（经济效益）</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作品中能较为完整地体现出专业能力。作品对专业实践具有实际指导意义或有一定的社会效益（经济效益）</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作品中能体现出相应专业能力。作品对专业实践具有一定指导意义或有社会效益（经济效益）</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作品中基本上能体现出相应专业能力。作品对专业实践具有一定的参考价值</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作品中不能体现出相应专业能力。作品对专业实践不具有实际指导意义或没有社会效益（经济效益）</w:t>
            </w:r>
          </w:p>
        </w:tc>
      </w:tr>
      <w:tr>
        <w:tblPrEx>
          <w:tblLayout w:type="fixed"/>
          <w:tblCellMar>
            <w:top w:w="0" w:type="dxa"/>
            <w:left w:w="0" w:type="dxa"/>
            <w:bottom w:w="0" w:type="dxa"/>
            <w:right w:w="0" w:type="dxa"/>
          </w:tblCellMar>
        </w:tblPrEx>
        <w:trPr>
          <w:trHeight w:val="1418" w:hRule="atLeast"/>
        </w:trPr>
        <w:tc>
          <w:tcPr>
            <w:tcW w:w="71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黑体" w:hAnsi="宋体" w:eastAsia="黑体" w:cs="宋体"/>
                <w:szCs w:val="21"/>
              </w:rPr>
              <w:t>作品阐述</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学术性</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能够完整地体现专业知识和学术能力，具有一定的学术价值</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较为完整地体现专业知识和学术能力，具有一定的学术价值</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能够体现一定的专业知识和学术能力，具有一定的艺术见解</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基本能够体现专业知识和学术能力，有一些艺术见解</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体现不出相应的专业知识和学术能力，学术价值低</w:t>
            </w:r>
          </w:p>
        </w:tc>
      </w:tr>
      <w:tr>
        <w:tblPrEx>
          <w:tblLayout w:type="fixed"/>
          <w:tblCellMar>
            <w:top w:w="0" w:type="dxa"/>
            <w:left w:w="0" w:type="dxa"/>
            <w:bottom w:w="0" w:type="dxa"/>
            <w:right w:w="0" w:type="dxa"/>
          </w:tblCellMar>
        </w:tblPrEx>
        <w:trPr>
          <w:trHeight w:val="1418" w:hRule="atLeast"/>
        </w:trPr>
        <w:tc>
          <w:tcPr>
            <w:tcW w:w="710"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w w:val="9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规范性</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资料引证、作者论证、文字、图表等准确和规范</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资料引证、作者论证、文字、图表等较为准确和规范</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资料引证、作者论证、文字、图表等基本准确和规范</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资料引证、作者论证、文字、图表等勉强达到规范化要求</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资料引证、作者论证、文字、图表等不太准确和规范</w:t>
            </w:r>
          </w:p>
        </w:tc>
      </w:tr>
      <w:tr>
        <w:tblPrEx>
          <w:tblLayout w:type="fixed"/>
          <w:tblCellMar>
            <w:top w:w="0" w:type="dxa"/>
            <w:left w:w="0" w:type="dxa"/>
            <w:bottom w:w="0" w:type="dxa"/>
            <w:right w:w="0" w:type="dxa"/>
          </w:tblCellMar>
        </w:tblPrEx>
        <w:trPr>
          <w:trHeight w:val="1671" w:hRule="atLeast"/>
        </w:trPr>
        <w:tc>
          <w:tcPr>
            <w:tcW w:w="71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adjustRightInd w:val="0"/>
              <w:snapToGrid w:val="0"/>
              <w:ind w:leftChars="-1" w:hanging="2" w:hangingChars="1"/>
              <w:jc w:val="center"/>
              <w:rPr>
                <w:rFonts w:ascii="黑体" w:hAnsi="宋体" w:eastAsia="黑体" w:cs="宋体"/>
              </w:rPr>
            </w:pPr>
            <w:r>
              <w:rPr>
                <w:rFonts w:hint="eastAsia" w:ascii="黑体" w:hAnsi="宋体" w:eastAsia="黑体" w:cs="宋体"/>
              </w:rPr>
              <w:t>答辩</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w w:val="90"/>
                <w:szCs w:val="21"/>
              </w:rPr>
            </w:pPr>
            <w:r>
              <w:rPr>
                <w:rFonts w:hint="eastAsia" w:ascii="宋体" w:hAnsi="宋体" w:cs="宋体"/>
                <w:w w:val="90"/>
                <w:szCs w:val="21"/>
              </w:rPr>
              <w:t>作品展示</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作品展示能够完满地呈现艺术创作的过程和艺术创作的水准</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作品展示能够比较完满地呈现艺术创作的过程和艺术创作的水准</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作品展示能够呈现艺术创作的过程和艺术创作的水准</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作品展示基本能够呈现艺术创作的过程和艺术创作的水准</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作品展示不能够呈现艺术创作的过程和艺术创作的水准</w:t>
            </w:r>
          </w:p>
        </w:tc>
      </w:tr>
      <w:tr>
        <w:tblPrEx>
          <w:tblLayout w:type="fixed"/>
          <w:tblCellMar>
            <w:top w:w="0" w:type="dxa"/>
            <w:left w:w="0" w:type="dxa"/>
            <w:bottom w:w="0" w:type="dxa"/>
            <w:right w:w="0" w:type="dxa"/>
          </w:tblCellMar>
        </w:tblPrEx>
        <w:trPr>
          <w:trHeight w:val="2109" w:hRule="atLeast"/>
        </w:trPr>
        <w:tc>
          <w:tcPr>
            <w:tcW w:w="710"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w w:val="90"/>
                <w:szCs w:val="21"/>
              </w:rPr>
              <w:t>答辩情况</w:t>
            </w:r>
          </w:p>
        </w:tc>
        <w:tc>
          <w:tcPr>
            <w:tcW w:w="1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在规定时间内，能清晰阐述作品的主要设计思想和内容，能准确、无误地回答提出的问题</w:t>
            </w:r>
          </w:p>
        </w:tc>
        <w:tc>
          <w:tcPr>
            <w:tcW w:w="141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在规定时间内，能比较准确地阐述作品的主要设计思想和内容，能较为准确地回答提出的问题</w:t>
            </w:r>
          </w:p>
        </w:tc>
        <w:tc>
          <w:tcPr>
            <w:tcW w:w="1413" w:type="dxa"/>
            <w:tcBorders>
              <w:top w:val="nil"/>
              <w:left w:val="single" w:color="auto" w:sz="4" w:space="0"/>
              <w:bottom w:val="single" w:color="auto" w:sz="8" w:space="0"/>
              <w:right w:val="single" w:color="auto" w:sz="4"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在规定时间内，基本能阐述作品的表达思想和内容，回答问题基本准确，语言逻辑性欠佳</w:t>
            </w:r>
          </w:p>
        </w:tc>
        <w:tc>
          <w:tcPr>
            <w:tcW w:w="1413" w:type="dxa"/>
            <w:tcBorders>
              <w:top w:val="nil"/>
              <w:left w:val="single" w:color="auto" w:sz="4" w:space="0"/>
              <w:bottom w:val="single" w:color="auto" w:sz="8" w:space="0"/>
              <w:right w:val="single" w:color="auto" w:sz="8" w:space="0"/>
            </w:tcBorders>
            <w:shd w:val="clear" w:color="auto" w:fill="FFFFFF"/>
          </w:tcPr>
          <w:p>
            <w:pPr>
              <w:widowControl/>
              <w:spacing w:before="100" w:beforeAutospacing="1" w:after="100" w:afterAutospacing="1"/>
              <w:rPr>
                <w:rFonts w:ascii="宋体" w:hAnsi="宋体" w:cs="宋体"/>
                <w:w w:val="90"/>
                <w:szCs w:val="21"/>
              </w:rPr>
            </w:pPr>
            <w:r>
              <w:rPr>
                <w:rFonts w:hint="eastAsia" w:ascii="宋体" w:hAnsi="宋体" w:cs="宋体"/>
                <w:w w:val="90"/>
                <w:szCs w:val="21"/>
              </w:rPr>
              <w:t>在规定时间内，能阐述作品的表达思想和内容，能针对问题作出回答，但表述欠准确</w:t>
            </w:r>
          </w:p>
        </w:tc>
        <w:tc>
          <w:tcPr>
            <w:tcW w:w="15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宋体" w:hAnsi="宋体" w:cs="宋体"/>
                <w:w w:val="90"/>
                <w:szCs w:val="21"/>
              </w:rPr>
            </w:pPr>
            <w:r>
              <w:rPr>
                <w:rFonts w:hint="eastAsia" w:ascii="宋体" w:hAnsi="宋体" w:cs="宋体"/>
                <w:w w:val="90"/>
                <w:szCs w:val="21"/>
              </w:rPr>
              <w:t>在规定时间内，不能流利、清晰地阐述作品的思想和内容，不能针对问题作出回答</w:t>
            </w:r>
          </w:p>
        </w:tc>
      </w:tr>
    </w:tbl>
    <w:p>
      <w:pPr>
        <w:pStyle w:val="7"/>
        <w:adjustRightInd w:val="0"/>
        <w:snapToGrid w:val="0"/>
        <w:spacing w:line="360" w:lineRule="auto"/>
        <w:rPr>
          <w:rFonts w:hint="eastAsia" w:cs="宋体" w:asciiTheme="minorEastAsia" w:hAnsiTheme="minorEastAsia"/>
          <w:b/>
          <w:sz w:val="28"/>
          <w:szCs w:val="28"/>
        </w:rPr>
      </w:pPr>
    </w:p>
    <w:p>
      <w:pPr>
        <w:pStyle w:val="7"/>
        <w:adjustRightInd w:val="0"/>
        <w:snapToGrid w:val="0"/>
        <w:spacing w:line="360" w:lineRule="auto"/>
        <w:rPr>
          <w:rFonts w:cs="宋体" w:asciiTheme="minorEastAsia" w:hAnsiTheme="minorEastAsia"/>
          <w:b/>
          <w:sz w:val="28"/>
          <w:szCs w:val="28"/>
        </w:rPr>
      </w:pPr>
      <w:r>
        <w:rPr>
          <w:rFonts w:hint="eastAsia" w:cs="宋体" w:asciiTheme="minorEastAsia" w:hAnsiTheme="minorEastAsia"/>
          <w:b/>
          <w:sz w:val="28"/>
          <w:szCs w:val="28"/>
        </w:rPr>
        <w:t>附件3</w:t>
      </w:r>
    </w:p>
    <w:p>
      <w:pPr>
        <w:pStyle w:val="7"/>
        <w:adjustRightInd w:val="0"/>
        <w:snapToGrid w:val="0"/>
        <w:spacing w:line="560" w:lineRule="exact"/>
        <w:ind w:firstLine="643" w:firstLineChars="200"/>
        <w:jc w:val="center"/>
        <w:outlineLvl w:val="0"/>
        <w:rPr>
          <w:rFonts w:ascii="方正小标宋简体" w:hAnsi="华文中宋" w:eastAsia="方正小标宋简体" w:cs="宋体"/>
          <w:b/>
          <w:sz w:val="32"/>
          <w:szCs w:val="32"/>
        </w:rPr>
      </w:pPr>
      <w:r>
        <w:rPr>
          <w:rFonts w:hint="eastAsia" w:ascii="方正小标宋简体" w:hAnsi="华文中宋" w:eastAsia="方正小标宋简体" w:cs="宋体"/>
          <w:b/>
          <w:sz w:val="32"/>
          <w:szCs w:val="32"/>
        </w:rPr>
        <w:t>内江师范学院</w:t>
      </w:r>
    </w:p>
    <w:p>
      <w:pPr>
        <w:pStyle w:val="7"/>
        <w:adjustRightInd w:val="0"/>
        <w:snapToGrid w:val="0"/>
        <w:spacing w:line="560" w:lineRule="exact"/>
        <w:ind w:firstLine="643" w:firstLineChars="200"/>
        <w:jc w:val="center"/>
        <w:outlineLvl w:val="0"/>
        <w:rPr>
          <w:rFonts w:ascii="方正小标宋简体" w:hAnsi="华文中宋" w:eastAsia="方正小标宋简体" w:cs="宋体"/>
          <w:b/>
          <w:sz w:val="32"/>
          <w:szCs w:val="32"/>
        </w:rPr>
      </w:pPr>
      <w:r>
        <w:rPr>
          <w:rFonts w:hint="eastAsia" w:ascii="方正小标宋简体" w:hAnsi="华文中宋" w:eastAsia="方正小标宋简体" w:cs="宋体"/>
          <w:b/>
          <w:sz w:val="32"/>
          <w:szCs w:val="32"/>
        </w:rPr>
        <w:t>优秀毕业论文和优秀指导教师评选奖励办法</w:t>
      </w:r>
    </w:p>
    <w:p>
      <w:pPr>
        <w:pStyle w:val="7"/>
        <w:adjustRightInd w:val="0"/>
        <w:snapToGrid w:val="0"/>
        <w:spacing w:line="560" w:lineRule="exact"/>
        <w:ind w:firstLine="643" w:firstLineChars="200"/>
        <w:jc w:val="center"/>
        <w:outlineLvl w:val="0"/>
        <w:rPr>
          <w:rFonts w:hint="eastAsia" w:ascii="方正小标宋简体" w:hAnsi="华文中宋" w:eastAsia="方正小标宋简体" w:cs="宋体"/>
          <w:b/>
          <w:sz w:val="32"/>
          <w:szCs w:val="32"/>
        </w:rPr>
      </w:pPr>
    </w:p>
    <w:p>
      <w:pPr>
        <w:pStyle w:val="7"/>
        <w:adjustRightInd w:val="0"/>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为了鼓励全院师生在毕业论文教与学工作中做出优异成绩，推动教学改革与创新，提高本科毕业论文工作和本科教学质量，学校在每学年评选优秀毕业论文和优秀指导教师，评选奖励办法如下：</w:t>
      </w:r>
    </w:p>
    <w:p>
      <w:pPr>
        <w:pStyle w:val="7"/>
        <w:adjustRightInd w:val="0"/>
        <w:snapToGrid w:val="0"/>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一、参评对象</w:t>
      </w:r>
    </w:p>
    <w:p>
      <w:pPr>
        <w:pStyle w:val="7"/>
        <w:adjustRightInd w:val="0"/>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成绩为优秀的毕业论文及其指导教师。</w:t>
      </w:r>
    </w:p>
    <w:p>
      <w:pPr>
        <w:pStyle w:val="7"/>
        <w:adjustRightInd w:val="0"/>
        <w:snapToGrid w:val="0"/>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二、评选办法</w:t>
      </w:r>
    </w:p>
    <w:p>
      <w:pPr>
        <w:pStyle w:val="7"/>
        <w:adjustRightInd w:val="0"/>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1.二级学院毕业论文工作领导小组负责，按成绩优秀者的20%的比例推荐校级优秀毕业论文、填写推荐表报教务处；</w:t>
      </w:r>
    </w:p>
    <w:p>
      <w:pPr>
        <w:pStyle w:val="7"/>
        <w:adjustRightInd w:val="0"/>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2.学校组织专家对推荐的毕业论文进行评审，确定内江师范学院优秀本科毕业论文；</w:t>
      </w:r>
    </w:p>
    <w:p>
      <w:pPr>
        <w:pStyle w:val="7"/>
        <w:adjustRightInd w:val="0"/>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3.二级学院推荐1</w:t>
      </w:r>
      <w:r>
        <w:rPr>
          <w:rFonts w:hint="eastAsia" w:ascii="仿宋_GB2312" w:hAnsi="宋体" w:eastAsia="仿宋_GB2312" w:cs="宋体"/>
          <w:sz w:val="28"/>
          <w:szCs w:val="28"/>
        </w:rPr>
        <w:sym w:font="Symbol" w:char="F07E"/>
      </w:r>
      <w:r>
        <w:rPr>
          <w:rFonts w:hint="eastAsia" w:ascii="仿宋_GB2312" w:hAnsi="宋体" w:eastAsia="仿宋_GB2312" w:cs="宋体"/>
          <w:sz w:val="28"/>
          <w:szCs w:val="28"/>
        </w:rPr>
        <w:t>2名优秀指导教师。基本条件为：认真履行指导教师职责，指导学生毕业论文并获优秀成绩。</w:t>
      </w:r>
    </w:p>
    <w:p>
      <w:pPr>
        <w:pStyle w:val="7"/>
        <w:adjustRightInd w:val="0"/>
        <w:snapToGrid w:val="0"/>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三、奖励办法</w:t>
      </w:r>
    </w:p>
    <w:p>
      <w:pPr>
        <w:pStyle w:val="7"/>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获学校优秀指导教师者由学校颁发获奖证书和奖金。</w:t>
      </w:r>
    </w:p>
    <w:p>
      <w:pPr>
        <w:pStyle w:val="7"/>
        <w:adjustRightInd w:val="0"/>
        <w:snapToGrid w:val="0"/>
        <w:spacing w:line="360" w:lineRule="auto"/>
        <w:ind w:firstLine="560" w:firstLineChars="200"/>
        <w:rPr>
          <w:rFonts w:ascii="仿宋_GB2312" w:eastAsia="仿宋_GB2312"/>
          <w:sz w:val="28"/>
          <w:szCs w:val="28"/>
        </w:rPr>
      </w:pPr>
    </w:p>
    <w:p>
      <w:pPr>
        <w:pStyle w:val="7"/>
        <w:adjustRightInd w:val="0"/>
        <w:snapToGrid w:val="0"/>
        <w:spacing w:line="360" w:lineRule="auto"/>
        <w:ind w:firstLine="560" w:firstLineChars="200"/>
        <w:rPr>
          <w:rFonts w:ascii="仿宋_GB2312" w:eastAsia="仿宋_GB2312"/>
          <w:sz w:val="28"/>
          <w:szCs w:val="28"/>
        </w:rPr>
      </w:pPr>
    </w:p>
    <w:p>
      <w:pPr>
        <w:pStyle w:val="7"/>
        <w:adjustRightInd w:val="0"/>
        <w:snapToGrid w:val="0"/>
        <w:spacing w:line="360" w:lineRule="auto"/>
        <w:ind w:firstLine="560" w:firstLineChars="200"/>
        <w:rPr>
          <w:rFonts w:ascii="仿宋_GB2312" w:eastAsia="仿宋_GB2312"/>
          <w:sz w:val="28"/>
          <w:szCs w:val="28"/>
        </w:rPr>
      </w:pPr>
    </w:p>
    <w:p>
      <w:pPr>
        <w:pStyle w:val="7"/>
        <w:adjustRightInd w:val="0"/>
        <w:snapToGrid w:val="0"/>
        <w:spacing w:line="360" w:lineRule="auto"/>
        <w:ind w:firstLine="560" w:firstLineChars="200"/>
        <w:rPr>
          <w:rFonts w:ascii="仿宋_GB2312" w:eastAsia="仿宋_GB2312"/>
          <w:sz w:val="28"/>
          <w:szCs w:val="28"/>
        </w:rPr>
      </w:pPr>
    </w:p>
    <w:p>
      <w:pPr>
        <w:pStyle w:val="7"/>
        <w:adjustRightInd w:val="0"/>
        <w:snapToGrid w:val="0"/>
        <w:spacing w:line="360" w:lineRule="auto"/>
        <w:ind w:firstLine="560" w:firstLineChars="200"/>
        <w:rPr>
          <w:rFonts w:ascii="方正仿宋简体" w:eastAsia="方正仿宋简体"/>
          <w:sz w:val="28"/>
          <w:szCs w:val="28"/>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内江师范学院本科学位论文作假行为处理办法</w:t>
      </w:r>
    </w:p>
    <w:p>
      <w:pPr>
        <w:pStyle w:val="2"/>
        <w:adjustRightInd w:val="0"/>
        <w:snapToGrid w:val="0"/>
        <w:spacing w:line="560" w:lineRule="exact"/>
        <w:ind w:firstLine="562"/>
        <w:jc w:val="center"/>
        <w:rPr>
          <w:rFonts w:cs="宋体" w:asciiTheme="minorEastAsia" w:hAnsiTheme="minorEastAsia"/>
          <w:bCs w:val="0"/>
          <w:kern w:val="2"/>
          <w:szCs w:val="28"/>
        </w:rPr>
      </w:pPr>
      <w:r>
        <w:rPr>
          <w:rFonts w:hint="eastAsia" w:cs="宋体" w:asciiTheme="minorEastAsia" w:hAnsiTheme="minorEastAsia"/>
          <w:bCs w:val="0"/>
          <w:kern w:val="2"/>
          <w:szCs w:val="28"/>
        </w:rPr>
        <w:t>内师院发</w:t>
      </w:r>
      <w:r>
        <w:rPr>
          <w:rFonts w:hint="eastAsia" w:cs="宋体" w:asciiTheme="minorEastAsia" w:hAnsiTheme="minorEastAsia"/>
          <w:color w:val="000000"/>
          <w:kern w:val="0"/>
          <w:szCs w:val="28"/>
        </w:rPr>
        <w:t>〔201</w:t>
      </w:r>
      <w:r>
        <w:rPr>
          <w:rFonts w:cs="宋体" w:asciiTheme="minorEastAsia" w:hAnsiTheme="minorEastAsia"/>
          <w:color w:val="000000"/>
          <w:kern w:val="0"/>
          <w:szCs w:val="28"/>
        </w:rPr>
        <w:t>8</w:t>
      </w:r>
      <w:r>
        <w:rPr>
          <w:rFonts w:hint="eastAsia" w:cs="宋体" w:asciiTheme="minorEastAsia" w:hAnsiTheme="minorEastAsia"/>
          <w:color w:val="000000"/>
          <w:kern w:val="0"/>
          <w:szCs w:val="28"/>
        </w:rPr>
        <w:t>〕</w:t>
      </w:r>
      <w:r>
        <w:rPr>
          <w:rFonts w:hint="eastAsia" w:cs="宋体" w:asciiTheme="minorEastAsia" w:hAnsiTheme="minorEastAsia"/>
          <w:bCs w:val="0"/>
          <w:kern w:val="2"/>
          <w:szCs w:val="28"/>
        </w:rPr>
        <w:t>78号</w:t>
      </w:r>
    </w:p>
    <w:p>
      <w:pPr>
        <w:pStyle w:val="2"/>
        <w:adjustRightInd w:val="0"/>
        <w:snapToGrid w:val="0"/>
        <w:spacing w:line="560" w:lineRule="exact"/>
        <w:ind w:firstLine="482"/>
        <w:jc w:val="center"/>
        <w:rPr>
          <w:rFonts w:cs="宋体" w:asciiTheme="minorEastAsia" w:hAnsiTheme="minorEastAsia"/>
          <w:bCs w:val="0"/>
          <w:kern w:val="2"/>
          <w:sz w:val="24"/>
          <w:szCs w:val="24"/>
        </w:rPr>
      </w:pPr>
    </w:p>
    <w:p>
      <w:pPr>
        <w:pStyle w:val="2"/>
        <w:adjustRightInd w:val="0"/>
        <w:snapToGrid w:val="0"/>
        <w:ind w:firstLine="482"/>
        <w:jc w:val="center"/>
        <w:rPr>
          <w:rFonts w:cs="宋体" w:asciiTheme="minorEastAsia" w:hAnsiTheme="minorEastAsia"/>
          <w:bCs w:val="0"/>
          <w:kern w:val="2"/>
          <w:sz w:val="24"/>
          <w:szCs w:val="24"/>
        </w:rPr>
      </w:pPr>
      <w:r>
        <w:rPr>
          <w:rFonts w:hint="eastAsia" w:cs="宋体" w:asciiTheme="minorEastAsia" w:hAnsiTheme="minorEastAsia"/>
          <w:bCs w:val="0"/>
          <w:kern w:val="2"/>
          <w:sz w:val="24"/>
          <w:szCs w:val="24"/>
        </w:rPr>
        <w:t>第一章 总则</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bookmarkStart w:id="31" w:name="sub10006999_2"/>
      <w:bookmarkEnd w:id="31"/>
      <w:bookmarkStart w:id="32" w:name="2"/>
      <w:bookmarkEnd w:id="32"/>
      <w:bookmarkStart w:id="33" w:name="学位论文作假行为处理办法"/>
      <w:bookmarkEnd w:id="33"/>
      <w:r>
        <w:rPr>
          <w:rFonts w:hint="eastAsia" w:cs="宋体" w:asciiTheme="minorEastAsia" w:hAnsiTheme="minorEastAsia"/>
          <w:sz w:val="24"/>
          <w:szCs w:val="24"/>
        </w:rPr>
        <w:t>第一条 为规范学位论文管理，推进建立良好学风，提高人才培养质量，严肃处理</w:t>
      </w:r>
      <w:r>
        <w:fldChar w:fldCharType="begin"/>
      </w:r>
      <w:r>
        <w:instrText xml:space="preserve"> HYPERLINK "http://baike.baidu.com/view/258576.htm" \t "_blank" </w:instrText>
      </w:r>
      <w:r>
        <w:fldChar w:fldCharType="separate"/>
      </w:r>
      <w:r>
        <w:rPr>
          <w:rFonts w:hint="eastAsia" w:cs="宋体" w:asciiTheme="minorEastAsia" w:hAnsiTheme="minorEastAsia"/>
          <w:sz w:val="24"/>
          <w:szCs w:val="24"/>
        </w:rPr>
        <w:t>学位论文</w:t>
      </w:r>
      <w:r>
        <w:rPr>
          <w:rFonts w:hint="eastAsia" w:cs="宋体" w:asciiTheme="minorEastAsia" w:hAnsiTheme="minorEastAsia"/>
          <w:sz w:val="24"/>
          <w:szCs w:val="24"/>
        </w:rPr>
        <w:fldChar w:fldCharType="end"/>
      </w:r>
      <w:r>
        <w:rPr>
          <w:rFonts w:hint="eastAsia" w:cs="宋体" w:asciiTheme="minorEastAsia" w:hAnsiTheme="minorEastAsia"/>
          <w:sz w:val="24"/>
          <w:szCs w:val="24"/>
        </w:rPr>
        <w:t>作假行为，根据《学位论文作假行为处理办法》（教育部令第34号）和《普通高等学校学生管理规定》（教育部令第41号）文件精神，结合学校实际，特制定本办法。</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第二条 本办法所指学位论文指我校本科毕业论文（设计、创作）。</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第三条 学位申请人员要恪守学术道德和学术规范，在指导教师指导下独立完成学位论文。</w:t>
      </w:r>
    </w:p>
    <w:p>
      <w:pPr>
        <w:pStyle w:val="2"/>
        <w:adjustRightInd w:val="0"/>
        <w:snapToGrid w:val="0"/>
        <w:ind w:firstLine="482"/>
        <w:jc w:val="center"/>
        <w:rPr>
          <w:rFonts w:cs="宋体" w:asciiTheme="minorEastAsia" w:hAnsiTheme="minorEastAsia"/>
          <w:bCs w:val="0"/>
          <w:kern w:val="2"/>
          <w:sz w:val="24"/>
          <w:szCs w:val="24"/>
        </w:rPr>
      </w:pPr>
      <w:r>
        <w:rPr>
          <w:rFonts w:hint="eastAsia" w:cs="宋体" w:asciiTheme="minorEastAsia" w:hAnsiTheme="minorEastAsia"/>
          <w:bCs w:val="0"/>
          <w:kern w:val="2"/>
          <w:sz w:val="24"/>
          <w:szCs w:val="24"/>
        </w:rPr>
        <w:t>第二章 作假行为界定</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第四条 学位论文作假行为包括：</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(一)购买、出售学位论文或者组织学位论文买卖。</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(二)由他人代写、为他人代写学位论文或者组织学位论文代写。</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(三)剽窃他人作品和学术成果。主要包括：</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1.将他人作品或学术成果据为己有；</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2.将他人的学术观点作为学位论文的核心或主要观点；或将他人的学术成果作为学位论文的主要或实质内容；</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3.大量复制他人作品或学术成果的内容而不说明其来源。</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(四)伪造数据。包括伪造或篡改调查数据、实验数据、实验材料、实验结果或研究成果；伪造文献资料、注释等。</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(五)其他学位论文作假行为。</w:t>
      </w:r>
    </w:p>
    <w:p>
      <w:pPr>
        <w:pStyle w:val="2"/>
        <w:adjustRightInd w:val="0"/>
        <w:snapToGrid w:val="0"/>
        <w:ind w:firstLine="482"/>
        <w:jc w:val="center"/>
        <w:rPr>
          <w:rFonts w:cs="宋体" w:asciiTheme="minorEastAsia" w:hAnsiTheme="minorEastAsia"/>
          <w:bCs w:val="0"/>
          <w:kern w:val="2"/>
          <w:sz w:val="24"/>
          <w:szCs w:val="24"/>
        </w:rPr>
      </w:pPr>
      <w:r>
        <w:rPr>
          <w:rFonts w:hint="eastAsia" w:cs="宋体" w:asciiTheme="minorEastAsia" w:hAnsiTheme="minorEastAsia"/>
          <w:bCs w:val="0"/>
          <w:kern w:val="2"/>
          <w:sz w:val="24"/>
          <w:szCs w:val="24"/>
        </w:rPr>
        <w:t>第三章 作假行为认定及处理程序</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第五条 学位评定委员会办公室负责受理全日制本科生学士学位论文作假行为的举报及认定处理的组织工作；继续教育学院负责受理成人高等教育、网络高等教育和自学考试人员学士学位论文作假行为的举报及认定处理的组织工作。</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第六条 下列情形之一可认为涉嫌学位论文作假，由学位评定委员会启动认定及处理程序：</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（一）论文评阅专家怀疑或认定存在学位论文作假；</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（二）答辩委员会怀疑或认定存在学位论文作假；</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（三）学校或上级部门组织的学位论文抽查中发现学位论文作假行为；</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（四）被举报存在或怀疑存在学位论文作假行为。</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第七条 二级学院学位评定分委员会成立不少于３名专家的调查小组进行调查认定，将调查结果形成书面报告并根据学校相关规定提出处理建议。</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第八条 校学位评定委员会对认定结论和处理建议进行审核，必要时协调相关部门或聘请校外专家对有关事实进行进一步认定。校学位评定委员会对取消学位申请人员学位申请资格、撤销已获学位人员学位及暂停或取消指导教师学位论文指导资格等处理意见进行审批，作出处理决定。</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第九条 处理决定书由二级学院负责送交当事人本人，为在职人员的，还要通报其所在单位。取消学位申请资格或者撤销学位的处理决定应向社会公布，并在处理结束30天内，报教育部学位管理司备案。</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第十条 当事人对取消学位申请资格、撤销学位、暂停或取消毕业论文（设计、创作）指导资格处理决定有异议的，可以在学校作出决定后的10个工作日内向校学位评定委员会办公室提出申诉，逾期不予受理。校学位评定委员会对学位论文作假行为处理进行复核，复核结论为校内最终结论。</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第十一条 参与学位论文作假行为认定及处理的相关人员要对作假嫌疑行为的有关内容、调查过程和调查资料进行保密。作假行为未认定前，不得私自传播、散布，以保证当事人的名誉和合法权益不受侵害。</w:t>
      </w:r>
    </w:p>
    <w:p>
      <w:pPr>
        <w:pStyle w:val="2"/>
        <w:adjustRightInd w:val="0"/>
        <w:snapToGrid w:val="0"/>
        <w:ind w:firstLine="482"/>
        <w:jc w:val="center"/>
        <w:rPr>
          <w:rFonts w:cs="宋体" w:asciiTheme="minorEastAsia" w:hAnsiTheme="minorEastAsia"/>
          <w:bCs w:val="0"/>
          <w:kern w:val="2"/>
          <w:sz w:val="24"/>
          <w:szCs w:val="24"/>
        </w:rPr>
      </w:pPr>
      <w:r>
        <w:rPr>
          <w:rFonts w:hint="eastAsia" w:cs="宋体" w:asciiTheme="minorEastAsia" w:hAnsiTheme="minorEastAsia"/>
          <w:bCs w:val="0"/>
          <w:kern w:val="2"/>
          <w:sz w:val="24"/>
          <w:szCs w:val="24"/>
        </w:rPr>
        <w:t>第四章 作假行为处理</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第十二条 学位申请人员的学位论文被认定存在第四条规定的学位论文作假行为的，取消其学位申请资格；已获学位人员被认定存在第四条规定的学位论文作假行为的，撤销其学位，并注销其学位证书。学位申请人为在读学生的，给予开除学籍处分；为在职人员的，除给予开除学籍处分外，还将通报其所在单位。</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第十三条 指导教师未履行学术道德和学术规范教育、论文指导和审查把关等职责，其指导的学位论文存在作假情形的，学校可以给予警告、记过处分；情节严重的，可以降低岗位等级直至给予开除处分或者解除聘任合同。</w:t>
      </w:r>
    </w:p>
    <w:p>
      <w:pPr>
        <w:pStyle w:val="2"/>
        <w:adjustRightInd w:val="0"/>
        <w:snapToGrid w:val="0"/>
        <w:ind w:firstLine="482"/>
        <w:jc w:val="center"/>
        <w:rPr>
          <w:rFonts w:cs="宋体" w:asciiTheme="minorEastAsia" w:hAnsiTheme="minorEastAsia"/>
          <w:bCs w:val="0"/>
          <w:kern w:val="2"/>
          <w:sz w:val="24"/>
          <w:szCs w:val="24"/>
        </w:rPr>
      </w:pPr>
      <w:r>
        <w:rPr>
          <w:rFonts w:hint="eastAsia" w:cs="宋体" w:asciiTheme="minorEastAsia" w:hAnsiTheme="minorEastAsia"/>
          <w:bCs w:val="0"/>
          <w:kern w:val="2"/>
          <w:sz w:val="24"/>
          <w:szCs w:val="24"/>
        </w:rPr>
        <w:t>第五章 附 则</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第十四条 本办法自公布之日起执行，由校学位评定委员会办公室负责解释。</w:t>
      </w:r>
    </w:p>
    <w:p>
      <w:pPr>
        <w:widowControl/>
        <w:shd w:val="clear" w:color="auto" w:fill="FFFFFF"/>
        <w:adjustRightInd w:val="0"/>
        <w:snapToGrid w:val="0"/>
        <w:spacing w:line="360" w:lineRule="auto"/>
        <w:ind w:firstLine="480" w:firstLineChars="200"/>
        <w:rPr>
          <w:rFonts w:cs="宋体" w:asciiTheme="minorEastAsia" w:hAnsiTheme="minorEastAsia"/>
          <w:sz w:val="24"/>
          <w:szCs w:val="24"/>
        </w:rPr>
      </w:pPr>
    </w:p>
    <w:p>
      <w:pPr>
        <w:spacing w:line="580" w:lineRule="exact"/>
        <w:ind w:left="3574" w:right="838" w:rightChars="399" w:hanging="3573" w:hangingChars="1489"/>
        <w:jc w:val="right"/>
        <w:rPr>
          <w:rFonts w:cs="Times New Roman" w:asciiTheme="minorEastAsia" w:hAnsiTheme="minorEastAsia"/>
          <w:sz w:val="24"/>
          <w:szCs w:val="24"/>
        </w:rPr>
      </w:pPr>
      <w:r>
        <w:rPr>
          <w:rFonts w:hint="eastAsia" w:cs="Times New Roman" w:asciiTheme="minorEastAsia" w:hAnsiTheme="minorEastAsia"/>
          <w:sz w:val="24"/>
          <w:szCs w:val="24"/>
        </w:rPr>
        <w:t>2018年5月18日</w:t>
      </w:r>
    </w:p>
    <w:p>
      <w:pPr>
        <w:adjustRightInd w:val="0"/>
        <w:snapToGrid w:val="0"/>
        <w:spacing w:line="56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rPr>
        <w:t>内江师范学院教育实践管理办法（试行）</w:t>
      </w:r>
    </w:p>
    <w:p>
      <w:pPr>
        <w:adjustRightInd w:val="0"/>
        <w:snapToGrid w:val="0"/>
        <w:spacing w:line="560" w:lineRule="exact"/>
        <w:ind w:firstLine="562" w:firstLineChars="200"/>
        <w:jc w:val="center"/>
        <w:rPr>
          <w:rFonts w:ascii="宋体" w:hAnsi="宋体" w:eastAsia="宋体" w:cs="宋体"/>
          <w:b/>
          <w:kern w:val="0"/>
          <w:sz w:val="28"/>
          <w:szCs w:val="28"/>
        </w:rPr>
      </w:pPr>
      <w:r>
        <w:rPr>
          <w:rFonts w:hint="eastAsia" w:ascii="宋体" w:hAnsi="宋体" w:eastAsia="宋体" w:cs="宋体"/>
          <w:b/>
          <w:kern w:val="0"/>
          <w:sz w:val="28"/>
          <w:szCs w:val="28"/>
        </w:rPr>
        <w:t>内师教字</w:t>
      </w:r>
      <w:r>
        <w:rPr>
          <w:rFonts w:hint="eastAsia" w:cs="宋体" w:asciiTheme="minorEastAsia" w:hAnsiTheme="minorEastAsia"/>
          <w:b/>
          <w:color w:val="000000"/>
          <w:kern w:val="0"/>
          <w:sz w:val="28"/>
          <w:szCs w:val="28"/>
        </w:rPr>
        <w:t>〔201</w:t>
      </w:r>
      <w:r>
        <w:rPr>
          <w:rFonts w:cs="宋体" w:asciiTheme="minorEastAsia" w:hAnsiTheme="minorEastAsia"/>
          <w:b/>
          <w:color w:val="000000"/>
          <w:kern w:val="0"/>
          <w:sz w:val="28"/>
          <w:szCs w:val="28"/>
        </w:rPr>
        <w:t>8</w:t>
      </w:r>
      <w:r>
        <w:rPr>
          <w:rFonts w:hint="eastAsia" w:cs="宋体" w:asciiTheme="minorEastAsia" w:hAnsiTheme="minorEastAsia"/>
          <w:b/>
          <w:color w:val="000000"/>
          <w:kern w:val="0"/>
          <w:sz w:val="28"/>
          <w:szCs w:val="28"/>
        </w:rPr>
        <w:t>〕</w:t>
      </w:r>
      <w:r>
        <w:rPr>
          <w:rFonts w:hint="eastAsia" w:ascii="宋体" w:hAnsi="宋体" w:eastAsia="宋体" w:cs="宋体"/>
          <w:b/>
          <w:kern w:val="0"/>
          <w:sz w:val="28"/>
          <w:szCs w:val="28"/>
        </w:rPr>
        <w:t>65号</w:t>
      </w:r>
    </w:p>
    <w:p>
      <w:pPr>
        <w:adjustRightInd w:val="0"/>
        <w:snapToGrid w:val="0"/>
        <w:spacing w:line="560" w:lineRule="exact"/>
        <w:ind w:firstLine="422" w:firstLineChars="200"/>
        <w:jc w:val="left"/>
        <w:rPr>
          <w:rFonts w:ascii="宋体" w:hAnsi="宋体" w:eastAsia="宋体" w:cs="宋体"/>
          <w:b/>
          <w:kern w:val="0"/>
          <w:szCs w:val="32"/>
        </w:rPr>
      </w:pPr>
    </w:p>
    <w:p>
      <w:pPr>
        <w:adjustRightInd w:val="0"/>
        <w:snapToGrid w:val="0"/>
        <w:spacing w:line="360" w:lineRule="auto"/>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第一章</w:t>
      </w:r>
      <w:r>
        <w:rPr>
          <w:rFonts w:ascii="宋体" w:hAnsi="宋体" w:eastAsia="宋体" w:cs="宋体"/>
          <w:b/>
          <w:kern w:val="0"/>
          <w:sz w:val="24"/>
          <w:szCs w:val="24"/>
        </w:rPr>
        <w:t xml:space="preserve"> </w:t>
      </w:r>
      <w:r>
        <w:rPr>
          <w:rFonts w:hint="eastAsia" w:ascii="宋体" w:hAnsi="宋体" w:eastAsia="宋体" w:cs="宋体"/>
          <w:b/>
          <w:kern w:val="0"/>
          <w:sz w:val="24"/>
          <w:szCs w:val="24"/>
        </w:rPr>
        <w:t>总 则</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第一条</w:t>
      </w:r>
      <w:r>
        <w:rPr>
          <w:rFonts w:ascii="宋体" w:hAnsi="宋体" w:eastAsia="宋体" w:cs="宋体"/>
          <w:kern w:val="0"/>
          <w:sz w:val="24"/>
          <w:szCs w:val="24"/>
        </w:rPr>
        <w:t xml:space="preserve"> </w:t>
      </w:r>
      <w:r>
        <w:rPr>
          <w:rFonts w:hint="eastAsia" w:ascii="宋体" w:hAnsi="宋体" w:eastAsia="宋体" w:cs="宋体"/>
          <w:kern w:val="0"/>
          <w:sz w:val="24"/>
          <w:szCs w:val="24"/>
        </w:rPr>
        <w:t>教育实践是教师专业化发展的重要环节，是理论联系实际、培养学生成为合格教师的综合性、实践性必修课程，是全面检查并进一步提高教师教育质量的必要措施。为增强师范生的社会责任感、创新精神和实践能力，全面提升教师培养质量，结合《教育部关于加强师范生教育实践的意见》（教师〔2016〕2号）文件精神和学校教育教学改革实际，特制订本办法。</w:t>
      </w:r>
    </w:p>
    <w:p>
      <w:pPr>
        <w:pStyle w:val="6"/>
        <w:adjustRightInd w:val="0"/>
        <w:snapToGrid w:val="0"/>
        <w:spacing w:line="360" w:lineRule="auto"/>
        <w:ind w:firstLine="482"/>
        <w:rPr>
          <w:rFonts w:ascii="宋体" w:hAnsi="宋体"/>
          <w:sz w:val="24"/>
        </w:rPr>
      </w:pPr>
      <w:r>
        <w:rPr>
          <w:rFonts w:hint="eastAsia" w:ascii="宋体" w:hAnsi="宋体"/>
          <w:b/>
          <w:bCs/>
          <w:sz w:val="24"/>
        </w:rPr>
        <w:t xml:space="preserve">第二条 </w:t>
      </w:r>
      <w:r>
        <w:rPr>
          <w:rFonts w:hint="eastAsia" w:ascii="宋体" w:hAnsi="宋体"/>
          <w:sz w:val="24"/>
        </w:rPr>
        <w:t>教育实践主要由教育见习、教学试讲、教育实习和教育研习四个环节构成，其中教育见习分为《教育见习I》、《教育见习II》和《教育见习III》三部分。</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第三条</w:t>
      </w:r>
      <w:r>
        <w:rPr>
          <w:rFonts w:hint="eastAsia" w:ascii="宋体" w:hAnsi="宋体" w:eastAsia="宋体" w:cs="宋体"/>
          <w:kern w:val="0"/>
          <w:sz w:val="24"/>
          <w:szCs w:val="24"/>
        </w:rPr>
        <w:t xml:space="preserve"> 教育实践的目的</w:t>
      </w:r>
    </w:p>
    <w:p>
      <w:pPr>
        <w:pStyle w:val="6"/>
        <w:adjustRightInd w:val="0"/>
        <w:snapToGrid w:val="0"/>
        <w:spacing w:line="360" w:lineRule="auto"/>
        <w:ind w:firstLine="480"/>
        <w:rPr>
          <w:rFonts w:ascii="宋体" w:hAnsi="宋体"/>
          <w:sz w:val="24"/>
        </w:rPr>
      </w:pPr>
      <w:r>
        <w:rPr>
          <w:rFonts w:hint="eastAsia" w:ascii="宋体" w:hAnsi="宋体"/>
          <w:sz w:val="24"/>
        </w:rPr>
        <w:t>（一）感知</w:t>
      </w:r>
      <w:r>
        <w:rPr>
          <w:rFonts w:hint="eastAsia" w:ascii="宋体" w:hAnsi="宋体" w:cs="宋体"/>
          <w:kern w:val="0"/>
          <w:sz w:val="24"/>
        </w:rPr>
        <w:t>教师岗位情境与职业素养，熟悉基础教育学情。</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（二）感知课堂教学操作流程，了解课堂教学设计的基本原理、教学策略、课堂教学的基本方法。</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cs="宋体"/>
          <w:kern w:val="0"/>
          <w:sz w:val="24"/>
          <w:szCs w:val="24"/>
        </w:rPr>
        <w:t>（三）掌握课堂教学的关键节点，初步形成对中小学及幼儿园课堂教学的操练体验。</w:t>
      </w:r>
    </w:p>
    <w:p>
      <w:pPr>
        <w:pStyle w:val="6"/>
        <w:adjustRightInd w:val="0"/>
        <w:snapToGrid w:val="0"/>
        <w:spacing w:line="360" w:lineRule="auto"/>
        <w:ind w:firstLine="480"/>
        <w:rPr>
          <w:rFonts w:ascii="宋体" w:hAnsi="宋体"/>
          <w:sz w:val="24"/>
        </w:rPr>
      </w:pPr>
      <w:r>
        <w:rPr>
          <w:rFonts w:hint="eastAsia" w:ascii="宋体" w:hAnsi="宋体"/>
          <w:sz w:val="24"/>
        </w:rPr>
        <w:t>（四）将所学的基础理论、基本知识和基本技能综合运用于教育教学过程中，培养其独立从事中小学及幼儿园学科教育与教学的能力。</w:t>
      </w:r>
    </w:p>
    <w:p>
      <w:pPr>
        <w:pStyle w:val="6"/>
        <w:adjustRightInd w:val="0"/>
        <w:snapToGrid w:val="0"/>
        <w:spacing w:line="360" w:lineRule="auto"/>
        <w:ind w:firstLine="480"/>
        <w:rPr>
          <w:rFonts w:ascii="宋体" w:hAnsi="宋体"/>
          <w:sz w:val="24"/>
        </w:rPr>
      </w:pPr>
      <w:r>
        <w:rPr>
          <w:rFonts w:hint="eastAsia" w:ascii="宋体" w:hAnsi="宋体"/>
          <w:sz w:val="24"/>
        </w:rPr>
        <w:t>（五）反思教育实习工作，提升自身的学科教学素质与理念、班级管理能力、教育科学研究水平。</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第二章</w:t>
      </w:r>
      <w:r>
        <w:rPr>
          <w:rFonts w:ascii="宋体" w:hAnsi="宋体" w:eastAsia="宋体" w:cs="宋体"/>
          <w:kern w:val="0"/>
          <w:sz w:val="24"/>
          <w:szCs w:val="24"/>
        </w:rPr>
        <w:t xml:space="preserve"> </w:t>
      </w:r>
      <w:r>
        <w:rPr>
          <w:rFonts w:hint="eastAsia" w:ascii="宋体" w:hAnsi="宋体" w:eastAsia="宋体" w:cs="宋体"/>
          <w:kern w:val="0"/>
          <w:sz w:val="24"/>
          <w:szCs w:val="24"/>
        </w:rPr>
        <w:t>组织机构及职责</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第四条</w:t>
      </w:r>
      <w:r>
        <w:rPr>
          <w:rFonts w:ascii="宋体" w:hAnsi="宋体" w:eastAsia="宋体" w:cs="宋体"/>
          <w:b/>
          <w:kern w:val="0"/>
          <w:sz w:val="24"/>
          <w:szCs w:val="24"/>
        </w:rPr>
        <w:t xml:space="preserve"> </w:t>
      </w:r>
      <w:r>
        <w:rPr>
          <w:rFonts w:ascii="宋体" w:hAnsi="宋体" w:eastAsia="宋体" w:cs="宋体"/>
          <w:kern w:val="0"/>
          <w:sz w:val="24"/>
          <w:szCs w:val="24"/>
        </w:rPr>
        <w:t>实践教学工作实行校院两级管理，学校成立实践教学指导委员会，二级学院成立实践教学工作领导小组，</w:t>
      </w:r>
      <w:r>
        <w:rPr>
          <w:rFonts w:hint="eastAsia" w:ascii="宋体" w:hAnsi="宋体" w:eastAsia="宋体" w:cs="宋体"/>
          <w:kern w:val="0"/>
          <w:sz w:val="24"/>
          <w:szCs w:val="24"/>
        </w:rPr>
        <w:t>统筹安排各专业实践教学工作。</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第五条</w:t>
      </w:r>
      <w:r>
        <w:rPr>
          <w:rFonts w:ascii="宋体" w:hAnsi="宋体" w:eastAsia="宋体" w:cs="宋体"/>
          <w:b/>
          <w:kern w:val="0"/>
          <w:sz w:val="24"/>
          <w:szCs w:val="24"/>
        </w:rPr>
        <w:t xml:space="preserve"> </w:t>
      </w:r>
      <w:r>
        <w:rPr>
          <w:rFonts w:hint="eastAsia" w:ascii="宋体" w:hAnsi="宋体" w:eastAsia="宋体" w:cs="宋体"/>
          <w:kern w:val="0"/>
          <w:sz w:val="24"/>
          <w:szCs w:val="24"/>
        </w:rPr>
        <w:t>实践教学指导委员会由分管教学校长任组长，教务处、评估处、学生处等部门负责人和教学指导委员会、教学督导委员会成员组成。具体组织管理工作由教务处负责，主要职责是：</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（一）制订全校实践教学工作管理办法；</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（二）审定实践教学计划和预算实践教学经费；</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（三）负责处理全校实践教学日常工作；</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（四）检查实践教学工作开展情况，研究解决实践教学中出现的问题；</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（五）组织全校性实践教学工作总结和经验交流。</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第六条</w:t>
      </w:r>
      <w:r>
        <w:rPr>
          <w:rFonts w:ascii="宋体" w:hAnsi="宋体" w:eastAsia="宋体" w:cs="宋体"/>
          <w:kern w:val="0"/>
          <w:sz w:val="24"/>
          <w:szCs w:val="24"/>
        </w:rPr>
        <w:t xml:space="preserve"> 实践教学工作领导小组</w:t>
      </w:r>
      <w:r>
        <w:rPr>
          <w:rFonts w:hint="eastAsia" w:ascii="宋体" w:hAnsi="宋体" w:eastAsia="宋体" w:cs="宋体"/>
          <w:kern w:val="0"/>
          <w:sz w:val="24"/>
          <w:szCs w:val="24"/>
        </w:rPr>
        <w:t>由二级学院院长任组长，分管教学院长和分管学生工作党总支书记任副组长、教研室主任、专业负责人、教学科研办公室主任、班主任、教师代表为成员构成。具体落实实践教学各项工作，主要职责是：</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（一）组织制订实践教学计划；</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（二）落实实践教学场所；</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（三）选派和考核实践教学指导教师；</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（四）做好组织动员工作；</w:t>
      </w:r>
      <w:r>
        <w:rPr>
          <w:rFonts w:ascii="宋体" w:hAnsi="宋体" w:eastAsia="宋体" w:cs="宋体"/>
          <w:kern w:val="0"/>
          <w:sz w:val="24"/>
          <w:szCs w:val="24"/>
        </w:rPr>
        <w:t xml:space="preserve"> </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（五）做好实践教学质量监控；</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（六）组织实践教学经验交流会，总结、评优。</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第三章</w:t>
      </w:r>
      <w:r>
        <w:rPr>
          <w:rFonts w:ascii="宋体" w:hAnsi="宋体" w:eastAsia="宋体" w:cs="宋体"/>
          <w:kern w:val="0"/>
          <w:sz w:val="24"/>
          <w:szCs w:val="24"/>
        </w:rPr>
        <w:t xml:space="preserve"> </w:t>
      </w:r>
      <w:r>
        <w:rPr>
          <w:rFonts w:hint="eastAsia" w:ascii="宋体" w:hAnsi="宋体" w:eastAsia="宋体" w:cs="宋体"/>
          <w:kern w:val="0"/>
          <w:sz w:val="24"/>
          <w:szCs w:val="24"/>
        </w:rPr>
        <w:t>内容与要求</w:t>
      </w:r>
    </w:p>
    <w:p>
      <w:pPr>
        <w:pStyle w:val="6"/>
        <w:adjustRightInd w:val="0"/>
        <w:snapToGrid w:val="0"/>
        <w:spacing w:line="360" w:lineRule="auto"/>
        <w:ind w:firstLine="482"/>
        <w:rPr>
          <w:rFonts w:ascii="宋体" w:hAnsi="宋体"/>
          <w:sz w:val="24"/>
        </w:rPr>
      </w:pPr>
      <w:r>
        <w:rPr>
          <w:rFonts w:hint="eastAsia" w:ascii="宋体" w:hAnsi="宋体"/>
          <w:b/>
          <w:bCs/>
          <w:sz w:val="24"/>
        </w:rPr>
        <w:t xml:space="preserve">第七条 </w:t>
      </w:r>
      <w:r>
        <w:rPr>
          <w:rFonts w:hint="eastAsia" w:ascii="宋体" w:hAnsi="宋体"/>
          <w:sz w:val="24"/>
        </w:rPr>
        <w:t>《教育见习Ⅰ》的内容为岗位情境与职业素养见习，具体是了解中小学（幼儿园）课程设置的基本情况，感知中小学（幼儿园）教育教学的基本形式，体验及感悟中小学（幼儿园）教师的职业素养和岗位特征。</w:t>
      </w:r>
    </w:p>
    <w:p>
      <w:pPr>
        <w:pStyle w:val="6"/>
        <w:adjustRightInd w:val="0"/>
        <w:snapToGrid w:val="0"/>
        <w:spacing w:line="360" w:lineRule="auto"/>
        <w:ind w:firstLine="482"/>
        <w:rPr>
          <w:rFonts w:ascii="宋体" w:hAnsi="宋体"/>
          <w:sz w:val="24"/>
        </w:rPr>
      </w:pPr>
      <w:r>
        <w:rPr>
          <w:rFonts w:hint="eastAsia" w:ascii="宋体" w:hAnsi="宋体"/>
          <w:b/>
          <w:bCs/>
          <w:sz w:val="24"/>
        </w:rPr>
        <w:t>第八条</w:t>
      </w:r>
      <w:r>
        <w:rPr>
          <w:rFonts w:hint="eastAsia" w:ascii="宋体" w:hAnsi="宋体"/>
          <w:sz w:val="24"/>
        </w:rPr>
        <w:t>《教育见习Ⅱ》的内容为基础教育学情见习，具体是了解中小学（幼儿园）学生学习的基本心理、基本特征、基本规律，感知学生学习生活特点。</w:t>
      </w:r>
    </w:p>
    <w:p>
      <w:pPr>
        <w:pStyle w:val="6"/>
        <w:adjustRightInd w:val="0"/>
        <w:snapToGrid w:val="0"/>
        <w:spacing w:line="360" w:lineRule="auto"/>
        <w:ind w:firstLine="482"/>
        <w:rPr>
          <w:rFonts w:ascii="宋体" w:hAnsi="宋体"/>
          <w:sz w:val="24"/>
        </w:rPr>
      </w:pPr>
      <w:r>
        <w:rPr>
          <w:rFonts w:hint="eastAsia" w:ascii="宋体" w:hAnsi="宋体"/>
          <w:b/>
          <w:bCs/>
          <w:sz w:val="24"/>
        </w:rPr>
        <w:t>第九条</w:t>
      </w:r>
      <w:r>
        <w:rPr>
          <w:rFonts w:hint="eastAsia" w:ascii="宋体" w:hAnsi="宋体"/>
          <w:sz w:val="24"/>
        </w:rPr>
        <w:t>《教育见习Ⅲ》的内容为课堂情境与教学操作见习，具体是观摩基础教育教师施教的课堂情境，熟悉课堂教学操作流程。</w:t>
      </w:r>
    </w:p>
    <w:p>
      <w:pPr>
        <w:pStyle w:val="6"/>
        <w:adjustRightInd w:val="0"/>
        <w:snapToGrid w:val="0"/>
        <w:spacing w:line="360" w:lineRule="auto"/>
        <w:ind w:firstLine="482"/>
        <w:rPr>
          <w:rFonts w:ascii="宋体" w:hAnsi="宋体"/>
          <w:sz w:val="24"/>
        </w:rPr>
      </w:pPr>
      <w:r>
        <w:rPr>
          <w:rFonts w:hint="eastAsia" w:ascii="宋体" w:hAnsi="宋体"/>
          <w:b/>
          <w:bCs/>
          <w:sz w:val="24"/>
        </w:rPr>
        <w:t xml:space="preserve">第十条 </w:t>
      </w:r>
      <w:r>
        <w:rPr>
          <w:rFonts w:hint="eastAsia" w:ascii="宋体" w:hAnsi="宋体"/>
          <w:sz w:val="24"/>
        </w:rPr>
        <w:t>教学试讲的主要内容为创设模拟性教育情境开展教学，熟练掌握备课、教学、班级管理等教育教学技能。</w:t>
      </w:r>
    </w:p>
    <w:p>
      <w:pPr>
        <w:pStyle w:val="6"/>
        <w:adjustRightInd w:val="0"/>
        <w:snapToGrid w:val="0"/>
        <w:spacing w:line="360" w:lineRule="auto"/>
        <w:ind w:firstLine="482"/>
        <w:rPr>
          <w:rFonts w:ascii="宋体" w:hAnsi="宋体"/>
          <w:sz w:val="24"/>
        </w:rPr>
      </w:pPr>
      <w:r>
        <w:rPr>
          <w:rFonts w:hint="eastAsia" w:ascii="宋体" w:hAnsi="宋体"/>
          <w:b/>
          <w:bCs/>
          <w:sz w:val="24"/>
        </w:rPr>
        <w:t>第十一条</w:t>
      </w:r>
      <w:r>
        <w:rPr>
          <w:rFonts w:hint="eastAsia" w:ascii="宋体" w:hAnsi="宋体"/>
          <w:sz w:val="24"/>
        </w:rPr>
        <w:t xml:space="preserve"> 教育实习包括教学工作实习和班主任工作实习。</w:t>
      </w:r>
    </w:p>
    <w:p>
      <w:pPr>
        <w:pStyle w:val="6"/>
        <w:adjustRightInd w:val="0"/>
        <w:snapToGrid w:val="0"/>
        <w:spacing w:line="360" w:lineRule="auto"/>
        <w:ind w:firstLine="480"/>
        <w:rPr>
          <w:rFonts w:ascii="宋体" w:hAnsi="宋体"/>
          <w:sz w:val="24"/>
        </w:rPr>
      </w:pPr>
      <w:r>
        <w:rPr>
          <w:rFonts w:hint="eastAsia" w:ascii="宋体" w:hAnsi="宋体"/>
          <w:sz w:val="24"/>
        </w:rPr>
        <w:t>（一）教学工作实习内容主要包括：听课、备课及编写教案、课堂教学、作业批改与讲评、课后辅导等环节，要求如下：</w:t>
      </w:r>
    </w:p>
    <w:p>
      <w:pPr>
        <w:pStyle w:val="6"/>
        <w:adjustRightInd w:val="0"/>
        <w:snapToGrid w:val="0"/>
        <w:spacing w:line="360" w:lineRule="auto"/>
        <w:ind w:firstLine="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小学教育和学前教育专业教授小学和学前课程，其它专业教授高、初中课程。</w:t>
      </w:r>
    </w:p>
    <w:p>
      <w:pPr>
        <w:pStyle w:val="6"/>
        <w:adjustRightInd w:val="0"/>
        <w:snapToGrid w:val="0"/>
        <w:spacing w:line="360" w:lineRule="auto"/>
        <w:ind w:firstLine="48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认真钻研课程标准和教材，掌握其内涵。</w:t>
      </w:r>
    </w:p>
    <w:p>
      <w:pPr>
        <w:pStyle w:val="6"/>
        <w:adjustRightInd w:val="0"/>
        <w:snapToGrid w:val="0"/>
        <w:spacing w:line="360" w:lineRule="auto"/>
        <w:ind w:firstLine="48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深入了解学生的学习情况，针对学情确定教学方法。</w:t>
      </w:r>
    </w:p>
    <w:p>
      <w:pPr>
        <w:pStyle w:val="6"/>
        <w:adjustRightInd w:val="0"/>
        <w:snapToGrid w:val="0"/>
        <w:spacing w:line="360" w:lineRule="auto"/>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认真编写教案，并提交学校和基地学校指导教师审阅，未经批准者不得上课。</w:t>
      </w:r>
    </w:p>
    <w:p>
      <w:pPr>
        <w:pStyle w:val="6"/>
        <w:adjustRightInd w:val="0"/>
        <w:snapToGrid w:val="0"/>
        <w:spacing w:line="360" w:lineRule="auto"/>
        <w:ind w:firstLine="48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认真负责批改作业、课外辅导、答疑等工作。对作业批语应持慎重态度，注重调动学生的学习积极性，并作1到2次较为详尽的作业评讲，针对不同类型学生的学习基础、学习态度，有的放矢地进行辅导。</w:t>
      </w:r>
    </w:p>
    <w:p>
      <w:pPr>
        <w:pStyle w:val="6"/>
        <w:adjustRightInd w:val="0"/>
        <w:snapToGrid w:val="0"/>
        <w:spacing w:line="360" w:lineRule="auto"/>
        <w:ind w:firstLine="48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实习期间必须完成基本教学工作任务，听课不少于30节，备课不少于20节，上课不少于10节。</w:t>
      </w:r>
    </w:p>
    <w:p>
      <w:pPr>
        <w:pStyle w:val="6"/>
        <w:adjustRightInd w:val="0"/>
        <w:snapToGrid w:val="0"/>
        <w:spacing w:line="360" w:lineRule="auto"/>
        <w:ind w:firstLine="48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实习生的听课记录、教案必须有指导教师签名。</w:t>
      </w:r>
    </w:p>
    <w:p>
      <w:pPr>
        <w:pStyle w:val="6"/>
        <w:adjustRightInd w:val="0"/>
        <w:snapToGrid w:val="0"/>
        <w:spacing w:line="360" w:lineRule="auto"/>
        <w:ind w:firstLine="480"/>
        <w:rPr>
          <w:rFonts w:ascii="宋体" w:hAnsi="宋体"/>
          <w:sz w:val="24"/>
        </w:rPr>
      </w:pPr>
      <w:r>
        <w:rPr>
          <w:rFonts w:hint="eastAsia" w:ascii="宋体" w:hAnsi="宋体"/>
          <w:sz w:val="24"/>
        </w:rPr>
        <w:t>（二）班主任工作实习主要是在原班主任的指导下，将学习的理论运用于班主任工作的实际中，掌握班主任工作的基本内容、特点，学会教书育人，主要包括班级日常管理、主题班会和心理辅导。要求如下：</w:t>
      </w:r>
    </w:p>
    <w:p>
      <w:pPr>
        <w:pStyle w:val="6"/>
        <w:adjustRightInd w:val="0"/>
        <w:snapToGrid w:val="0"/>
        <w:spacing w:line="360" w:lineRule="auto"/>
        <w:ind w:firstLine="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在原班主任的指导下，深入了解学生及班级情况。</w:t>
      </w:r>
    </w:p>
    <w:p>
      <w:pPr>
        <w:pStyle w:val="6"/>
        <w:adjustRightInd w:val="0"/>
        <w:snapToGrid w:val="0"/>
        <w:spacing w:line="360" w:lineRule="auto"/>
        <w:ind w:firstLine="480"/>
        <w:rPr>
          <w:rFonts w:ascii="宋体" w:hAnsi="宋体"/>
          <w:sz w:val="24"/>
        </w:rPr>
      </w:pPr>
      <w:r>
        <w:rPr>
          <w:rFonts w:ascii="宋体" w:hAnsi="宋体"/>
          <w:sz w:val="24"/>
        </w:rPr>
        <w:t>2.</w:t>
      </w:r>
      <w:r>
        <w:rPr>
          <w:rFonts w:hint="eastAsia" w:ascii="宋体" w:hAnsi="宋体"/>
          <w:sz w:val="24"/>
        </w:rPr>
        <w:t>根据原班主任的工作计划，拟定班主任工作的实习计划，送原班主任批准后执行。</w:t>
      </w:r>
    </w:p>
    <w:p>
      <w:pPr>
        <w:pStyle w:val="6"/>
        <w:adjustRightInd w:val="0"/>
        <w:snapToGrid w:val="0"/>
        <w:spacing w:line="360" w:lineRule="auto"/>
        <w:ind w:firstLine="48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在原班主任的指导下，开展班级团体辅导和班级日常工作。</w:t>
      </w:r>
    </w:p>
    <w:p>
      <w:pPr>
        <w:pStyle w:val="6"/>
        <w:adjustRightInd w:val="0"/>
        <w:snapToGrid w:val="0"/>
        <w:spacing w:line="360" w:lineRule="auto"/>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做好学生的心理辅导工作，特别是个别学生的思想转化工作，对后进生要晓之以理，动之以情，以理服人，避免采用简单粗暴的工作方法。</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在原班主任的指导下，组织主题班会，开展形式多样富有意义的班级活动，</w:t>
      </w:r>
      <w:r>
        <w:rPr>
          <w:rFonts w:hint="eastAsia" w:ascii="宋体" w:hAnsi="宋体" w:eastAsia="宋体" w:cs="宋体"/>
          <w:kern w:val="0"/>
          <w:sz w:val="24"/>
          <w:szCs w:val="24"/>
        </w:rPr>
        <w:t>每个实习生至少要组织主题班会1次或独立组织班级活动1次。</w:t>
      </w:r>
    </w:p>
    <w:p>
      <w:pPr>
        <w:adjustRightInd w:val="0"/>
        <w:snapToGrid w:val="0"/>
        <w:spacing w:line="360" w:lineRule="auto"/>
        <w:ind w:firstLine="482" w:firstLineChars="200"/>
        <w:rPr>
          <w:rFonts w:ascii="宋体" w:hAnsi="宋体" w:eastAsia="宋体"/>
          <w:sz w:val="24"/>
          <w:szCs w:val="24"/>
        </w:rPr>
      </w:pPr>
      <w:r>
        <w:rPr>
          <w:rFonts w:hint="eastAsia" w:ascii="宋体" w:hAnsi="宋体" w:eastAsia="宋体" w:cs="宋体"/>
          <w:b/>
          <w:kern w:val="0"/>
          <w:sz w:val="24"/>
          <w:szCs w:val="24"/>
        </w:rPr>
        <w:t>第十二条</w:t>
      </w:r>
      <w:r>
        <w:rPr>
          <w:rFonts w:ascii="宋体" w:hAnsi="宋体" w:eastAsia="宋体" w:cs="宋体"/>
          <w:b/>
          <w:kern w:val="0"/>
          <w:sz w:val="24"/>
          <w:szCs w:val="24"/>
        </w:rPr>
        <w:t xml:space="preserve"> </w:t>
      </w:r>
      <w:r>
        <w:rPr>
          <w:rFonts w:hint="eastAsia" w:ascii="宋体" w:hAnsi="宋体" w:eastAsia="宋体"/>
          <w:sz w:val="24"/>
          <w:szCs w:val="24"/>
        </w:rPr>
        <w:t>教育研习的主要内容为引导师范专业学生深入反思教育实习工作，包括研究教学工作、班主任工作和教育教学改革工作，以提高发现问题、分析问题、解决问题的基本能力，提升教育教学素养与理念。</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第四章</w:t>
      </w:r>
      <w:r>
        <w:rPr>
          <w:rFonts w:ascii="宋体" w:hAnsi="宋体" w:eastAsia="宋体" w:cs="宋体"/>
          <w:kern w:val="0"/>
          <w:sz w:val="24"/>
          <w:szCs w:val="24"/>
        </w:rPr>
        <w:t xml:space="preserve"> </w:t>
      </w:r>
      <w:r>
        <w:rPr>
          <w:rFonts w:hint="eastAsia" w:ascii="宋体" w:hAnsi="宋体" w:eastAsia="宋体" w:cs="宋体"/>
          <w:kern w:val="0"/>
          <w:sz w:val="24"/>
          <w:szCs w:val="24"/>
        </w:rPr>
        <w:t>组织实施</w:t>
      </w:r>
    </w:p>
    <w:p>
      <w:pPr>
        <w:adjustRightInd w:val="0"/>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第十三条</w:t>
      </w:r>
      <w:r>
        <w:rPr>
          <w:rFonts w:ascii="宋体" w:hAnsi="宋体" w:eastAsia="宋体" w:cs="宋体"/>
          <w:b/>
          <w:kern w:val="0"/>
          <w:sz w:val="24"/>
          <w:szCs w:val="24"/>
        </w:rPr>
        <w:t xml:space="preserve"> </w:t>
      </w:r>
      <w:r>
        <w:rPr>
          <w:rFonts w:hint="eastAsia" w:ascii="宋体" w:hAnsi="宋体" w:eastAsia="宋体" w:cs="Tahoma"/>
          <w:bCs/>
          <w:sz w:val="24"/>
          <w:szCs w:val="24"/>
        </w:rPr>
        <w:t>教育实践各环节组织实施</w:t>
      </w:r>
    </w:p>
    <w:p>
      <w:pPr>
        <w:pStyle w:val="10"/>
        <w:widowControl w:val="0"/>
        <w:adjustRightInd w:val="0"/>
        <w:snapToGrid w:val="0"/>
        <w:spacing w:before="0" w:beforeAutospacing="0" w:after="0" w:afterAutospacing="0" w:line="360" w:lineRule="auto"/>
        <w:ind w:firstLine="480" w:firstLineChars="200"/>
        <w:jc w:val="both"/>
      </w:pPr>
      <w:r>
        <w:rPr>
          <w:rFonts w:hint="eastAsia"/>
        </w:rPr>
        <w:t>（一）《教育见习Ⅰ》和《教育见习Ⅱ》由二级学院组织实施，可由学生自主联系学校分散进行。</w:t>
      </w:r>
    </w:p>
    <w:p>
      <w:pPr>
        <w:pStyle w:val="10"/>
        <w:widowControl w:val="0"/>
        <w:adjustRightInd w:val="0"/>
        <w:snapToGrid w:val="0"/>
        <w:spacing w:before="0" w:beforeAutospacing="0" w:after="0" w:afterAutospacing="0" w:line="360" w:lineRule="auto"/>
        <w:ind w:firstLine="480" w:firstLineChars="200"/>
        <w:jc w:val="both"/>
      </w:pPr>
      <w:r>
        <w:rPr>
          <w:rFonts w:hint="eastAsia"/>
        </w:rPr>
        <w:t>（二）《教育见习Ⅲ》原则上在校内完成，由二级学院组织实施。</w:t>
      </w:r>
    </w:p>
    <w:p>
      <w:pPr>
        <w:pStyle w:val="10"/>
        <w:widowControl w:val="0"/>
        <w:adjustRightInd w:val="0"/>
        <w:snapToGrid w:val="0"/>
        <w:spacing w:before="0" w:beforeAutospacing="0" w:after="0" w:afterAutospacing="0" w:line="360" w:lineRule="auto"/>
        <w:ind w:firstLine="480" w:firstLineChars="200"/>
        <w:jc w:val="both"/>
      </w:pPr>
      <w:r>
        <w:rPr>
          <w:rFonts w:hint="eastAsia"/>
        </w:rPr>
        <w:t>（三）教学试讲由二级学院根据教学计划组织实施。</w:t>
      </w:r>
    </w:p>
    <w:p>
      <w:pPr>
        <w:pStyle w:val="10"/>
        <w:widowControl w:val="0"/>
        <w:adjustRightInd w:val="0"/>
        <w:snapToGrid w:val="0"/>
        <w:spacing w:before="0" w:beforeAutospacing="0" w:after="0" w:afterAutospacing="0" w:line="360" w:lineRule="auto"/>
        <w:ind w:firstLine="480" w:firstLineChars="200"/>
      </w:pPr>
      <w:r>
        <w:rPr>
          <w:rFonts w:hint="eastAsia"/>
        </w:rPr>
        <w:t>（四）教育实习由教务处组织实施，统一集中安排。</w:t>
      </w:r>
    </w:p>
    <w:p>
      <w:pPr>
        <w:pStyle w:val="10"/>
        <w:widowControl w:val="0"/>
        <w:adjustRightInd w:val="0"/>
        <w:snapToGrid w:val="0"/>
        <w:spacing w:before="0" w:beforeAutospacing="0" w:after="0" w:afterAutospacing="0" w:line="360" w:lineRule="auto"/>
        <w:ind w:firstLine="480" w:firstLineChars="200"/>
        <w:jc w:val="both"/>
        <w:rPr>
          <w:rFonts w:cs="Tahoma"/>
          <w:kern w:val="2"/>
        </w:rPr>
      </w:pPr>
      <w:r>
        <w:rPr>
          <w:rFonts w:hint="eastAsia" w:cs="Tahoma"/>
          <w:kern w:val="2"/>
        </w:rPr>
        <w:t>（五）教育研习由二级学院组织实施。</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第五章</w:t>
      </w:r>
      <w:r>
        <w:rPr>
          <w:rFonts w:ascii="宋体" w:hAnsi="宋体" w:eastAsia="宋体" w:cs="宋体"/>
          <w:kern w:val="0"/>
          <w:sz w:val="24"/>
          <w:szCs w:val="24"/>
        </w:rPr>
        <w:t xml:space="preserve"> </w:t>
      </w:r>
      <w:r>
        <w:rPr>
          <w:rFonts w:hint="eastAsia" w:ascii="宋体" w:hAnsi="宋体" w:eastAsia="宋体" w:cs="宋体"/>
          <w:kern w:val="0"/>
          <w:sz w:val="24"/>
          <w:szCs w:val="24"/>
        </w:rPr>
        <w:t>指导教师及职责</w:t>
      </w:r>
    </w:p>
    <w:p>
      <w:pPr>
        <w:adjustRightInd w:val="0"/>
        <w:snapToGri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第十四条</w:t>
      </w:r>
      <w:r>
        <w:rPr>
          <w:rFonts w:ascii="宋体" w:hAnsi="宋体" w:eastAsia="宋体" w:cs="宋体"/>
          <w:b/>
          <w:kern w:val="0"/>
          <w:sz w:val="24"/>
          <w:szCs w:val="24"/>
        </w:rPr>
        <w:t xml:space="preserve"> </w:t>
      </w:r>
      <w:r>
        <w:rPr>
          <w:rFonts w:hint="eastAsia" w:ascii="宋体" w:hAnsi="宋体" w:eastAsia="宋体" w:cs="宋体"/>
          <w:kern w:val="0"/>
          <w:sz w:val="24"/>
          <w:szCs w:val="24"/>
        </w:rPr>
        <w:t>师范专业教师都有参加指导学生教育实践的义务，原则上驻点指导教师应从学科教学法教师中选派。</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 xml:space="preserve">第十五条 </w:t>
      </w:r>
      <w:r>
        <w:rPr>
          <w:rFonts w:hint="eastAsia" w:ascii="宋体" w:hAnsi="宋体" w:eastAsia="宋体" w:cs="宋体"/>
          <w:kern w:val="0"/>
          <w:sz w:val="24"/>
          <w:szCs w:val="24"/>
        </w:rPr>
        <w:t>二级学院按照每80名实习学生选派1名思想作风好，教学经验丰富、熟悉教育教学理论、工作责任心强的教师担任教育实习驻点指导教师。</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第十六条</w:t>
      </w:r>
      <w:r>
        <w:rPr>
          <w:rFonts w:ascii="宋体" w:hAnsi="宋体" w:eastAsia="宋体" w:cs="宋体"/>
          <w:b/>
          <w:kern w:val="0"/>
          <w:sz w:val="24"/>
          <w:szCs w:val="24"/>
        </w:rPr>
        <w:t xml:space="preserve"> </w:t>
      </w:r>
      <w:r>
        <w:rPr>
          <w:rFonts w:hint="eastAsia" w:ascii="宋体" w:hAnsi="宋体" w:eastAsia="宋体" w:cs="宋体"/>
          <w:kern w:val="0"/>
          <w:sz w:val="24"/>
          <w:szCs w:val="24"/>
        </w:rPr>
        <w:t>指导教师的职责</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（一）教育实习驻点指导教师</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协调、解决学生实习过程中遇到的问题，并及时向二级学院或教务处反馈。</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全面了解驻点地区基础教育课程教育教学改革实施情况。</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全面了解实习生的思想和业务情况，听实习生上课、检查实习生教案、提出指导性意见。</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实习结束后，做好实习生实习考核和成绩评定，并向二级学院、教务处提交实习工作书面总结。</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对于违反实习纪律的实习生，指导教师应当批评教育，对不听从教育、态度又不好的实习生，指导教师应及时建议实习领导小组停止该生的实习。</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（二）其它（教育见习、教学试讲、教育研习）指导教师：</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按照《内江师范学院教育实践质量标准及操作要求》认真准备、积极指导。</w:t>
      </w:r>
    </w:p>
    <w:p>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对学生实践情况进行考核和成绩评定。</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第六章</w:t>
      </w:r>
      <w:r>
        <w:rPr>
          <w:rFonts w:ascii="宋体" w:hAnsi="宋体" w:eastAsia="宋体" w:cs="宋体"/>
          <w:kern w:val="0"/>
          <w:sz w:val="24"/>
          <w:szCs w:val="24"/>
        </w:rPr>
        <w:t xml:space="preserve"> </w:t>
      </w:r>
      <w:r>
        <w:rPr>
          <w:rFonts w:hint="eastAsia" w:ascii="宋体" w:hAnsi="宋体" w:eastAsia="宋体" w:cs="宋体"/>
          <w:kern w:val="0"/>
          <w:sz w:val="24"/>
          <w:szCs w:val="24"/>
        </w:rPr>
        <w:t>学生行为规范</w:t>
      </w:r>
    </w:p>
    <w:p>
      <w:pPr>
        <w:pStyle w:val="6"/>
        <w:adjustRightInd w:val="0"/>
        <w:snapToGrid w:val="0"/>
        <w:spacing w:line="360" w:lineRule="auto"/>
        <w:ind w:firstLine="482"/>
        <w:rPr>
          <w:rFonts w:ascii="宋体" w:hAnsi="宋体"/>
          <w:sz w:val="24"/>
        </w:rPr>
      </w:pPr>
      <w:r>
        <w:rPr>
          <w:rFonts w:hint="eastAsia" w:ascii="宋体" w:hAnsi="宋体"/>
          <w:b/>
          <w:bCs/>
          <w:sz w:val="24"/>
        </w:rPr>
        <w:t>第十七条</w:t>
      </w:r>
      <w:r>
        <w:rPr>
          <w:rFonts w:hint="eastAsia" w:ascii="宋体" w:hAnsi="宋体"/>
          <w:sz w:val="24"/>
        </w:rPr>
        <w:t xml:space="preserve"> 热爱教育事业，充分认识教育实践的重要意义，自觉参加教育实践。</w:t>
      </w:r>
      <w:r>
        <w:rPr>
          <w:rFonts w:hint="eastAsia" w:ascii="宋体" w:hAnsi="宋体" w:cs="宋体"/>
          <w:kern w:val="0"/>
          <w:sz w:val="24"/>
        </w:rPr>
        <w:t>发扬刻苦钻研精神，认真准备，积极参与，</w:t>
      </w:r>
      <w:r>
        <w:rPr>
          <w:rFonts w:hint="eastAsia" w:ascii="宋体" w:hAnsi="宋体"/>
          <w:sz w:val="24"/>
        </w:rPr>
        <w:t>虚心请教，努力实践，大胆创新，不断提高自己的思想、业务水平和独立工作能力。</w:t>
      </w:r>
    </w:p>
    <w:p>
      <w:pPr>
        <w:adjustRightInd w:val="0"/>
        <w:snapToGrid w:val="0"/>
        <w:spacing w:line="360" w:lineRule="auto"/>
        <w:ind w:firstLine="482" w:firstLineChars="200"/>
        <w:jc w:val="left"/>
        <w:rPr>
          <w:rFonts w:ascii="宋体" w:hAnsi="宋体" w:eastAsia="宋体"/>
          <w:sz w:val="24"/>
          <w:szCs w:val="24"/>
        </w:rPr>
      </w:pPr>
      <w:r>
        <w:rPr>
          <w:rFonts w:hint="eastAsia" w:ascii="宋体" w:hAnsi="宋体" w:eastAsia="宋体"/>
          <w:b/>
          <w:kern w:val="0"/>
          <w:sz w:val="24"/>
          <w:szCs w:val="24"/>
        </w:rPr>
        <w:t>第十八条</w:t>
      </w:r>
      <w:r>
        <w:rPr>
          <w:rFonts w:ascii="宋体" w:hAnsi="宋体" w:eastAsia="宋体"/>
          <w:kern w:val="0"/>
          <w:sz w:val="24"/>
          <w:szCs w:val="24"/>
        </w:rPr>
        <w:t xml:space="preserve"> </w:t>
      </w:r>
      <w:r>
        <w:rPr>
          <w:rFonts w:hint="eastAsia" w:ascii="宋体" w:hAnsi="宋体" w:eastAsia="宋体"/>
          <w:sz w:val="24"/>
          <w:szCs w:val="24"/>
        </w:rPr>
        <w:t>严格遵守学校和基地学校的各项规章制度，如有违纪行为，将按学校及基地学校有关规定，视情节轻重给予批评教育直至纪律处分，给基地学校造成损失的，按基地单位规定赔偿。</w:t>
      </w:r>
    </w:p>
    <w:p>
      <w:pPr>
        <w:pStyle w:val="6"/>
        <w:adjustRightInd w:val="0"/>
        <w:snapToGrid w:val="0"/>
        <w:spacing w:line="360" w:lineRule="auto"/>
        <w:ind w:firstLine="482"/>
        <w:rPr>
          <w:rFonts w:ascii="宋体" w:hAnsi="宋体"/>
          <w:sz w:val="24"/>
        </w:rPr>
      </w:pPr>
      <w:r>
        <w:rPr>
          <w:rFonts w:hint="eastAsia" w:ascii="宋体" w:hAnsi="宋体" w:cs="宋体"/>
          <w:b/>
          <w:kern w:val="0"/>
          <w:sz w:val="24"/>
        </w:rPr>
        <w:t>第十九条</w:t>
      </w:r>
      <w:r>
        <w:rPr>
          <w:rFonts w:hint="eastAsia" w:ascii="宋体" w:hAnsi="宋体"/>
          <w:sz w:val="24"/>
        </w:rPr>
        <w:t xml:space="preserve"> 学生确定外出参加教育实践的学校后，中途不得私自调换学校，确因特殊情况需调换者，须由本人提出书面申请，并经二级学院、教务处同意；凡未经批准私自调换基地学校者，成绩记零分。</w:t>
      </w:r>
    </w:p>
    <w:p>
      <w:pPr>
        <w:pStyle w:val="6"/>
        <w:adjustRightInd w:val="0"/>
        <w:snapToGrid w:val="0"/>
        <w:spacing w:line="360" w:lineRule="auto"/>
        <w:ind w:firstLine="482"/>
        <w:rPr>
          <w:rFonts w:ascii="宋体" w:hAnsi="宋体"/>
          <w:sz w:val="24"/>
        </w:rPr>
      </w:pPr>
      <w:r>
        <w:rPr>
          <w:rFonts w:hint="eastAsia" w:ascii="宋体" w:hAnsi="宋体"/>
          <w:b/>
          <w:bCs/>
          <w:sz w:val="24"/>
        </w:rPr>
        <w:t>第二十条</w:t>
      </w:r>
      <w:r>
        <w:rPr>
          <w:rFonts w:hint="eastAsia" w:ascii="宋体" w:hAnsi="宋体"/>
          <w:sz w:val="24"/>
        </w:rPr>
        <w:t xml:space="preserve"> 实习生在教育</w:t>
      </w:r>
      <w:r>
        <w:rPr>
          <w:rFonts w:hint="eastAsia" w:ascii="宋体" w:hAnsi="宋体"/>
          <w:bCs/>
          <w:sz w:val="24"/>
        </w:rPr>
        <w:t>实践</w:t>
      </w:r>
      <w:r>
        <w:rPr>
          <w:rFonts w:hint="eastAsia" w:ascii="宋体" w:hAnsi="宋体"/>
          <w:sz w:val="24"/>
        </w:rPr>
        <w:t>期间一般不得请假。如确实因事、因病（须附二级甲等及以上医院的证明）等需要请假，必须履行请假手续。教育见习、教学试讲、教育研习期间请假按照《内江师范学院学生考勤与请假办法》办理；教育实习期间请假按以下程序办理：请假1天内，由我校驻点指导教师和基地学校教导处审批；请假1天以上3天以内，经基地学校教导处和驻点指导教师同意后，报所在二级学院实践教学工作领导小组批准，同时报教务处备案；请假3天以上，经基地学校领导和驻点指导教师同意后，报所在二级学院实践教学工作领导小组审批后报学校教务处审批。</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第七章</w:t>
      </w:r>
      <w:r>
        <w:rPr>
          <w:rFonts w:ascii="宋体" w:hAnsi="宋体" w:eastAsia="宋体" w:cs="宋体"/>
          <w:kern w:val="0"/>
          <w:sz w:val="24"/>
          <w:szCs w:val="24"/>
        </w:rPr>
        <w:t xml:space="preserve"> </w:t>
      </w:r>
      <w:r>
        <w:rPr>
          <w:rFonts w:hint="eastAsia" w:ascii="宋体" w:hAnsi="宋体" w:eastAsia="宋体" w:cs="宋体"/>
          <w:kern w:val="0"/>
          <w:sz w:val="24"/>
          <w:szCs w:val="24"/>
        </w:rPr>
        <w:t>教育实习组长及职责</w:t>
      </w:r>
    </w:p>
    <w:p>
      <w:pPr>
        <w:pStyle w:val="6"/>
        <w:adjustRightInd w:val="0"/>
        <w:snapToGrid w:val="0"/>
        <w:spacing w:line="360" w:lineRule="auto"/>
        <w:ind w:firstLine="482"/>
        <w:rPr>
          <w:rFonts w:ascii="宋体" w:hAnsi="宋体"/>
          <w:sz w:val="24"/>
        </w:rPr>
      </w:pPr>
      <w:r>
        <w:rPr>
          <w:rFonts w:hint="eastAsia" w:ascii="宋体" w:hAnsi="宋体"/>
          <w:b/>
          <w:bCs/>
          <w:sz w:val="24"/>
        </w:rPr>
        <w:t>第二十一条</w:t>
      </w:r>
      <w:r>
        <w:rPr>
          <w:rFonts w:ascii="宋体" w:hAnsi="宋体"/>
          <w:bCs/>
          <w:sz w:val="24"/>
        </w:rPr>
        <w:t xml:space="preserve"> </w:t>
      </w:r>
      <w:r>
        <w:rPr>
          <w:rFonts w:hint="eastAsia" w:ascii="宋体" w:hAnsi="宋体"/>
          <w:sz w:val="24"/>
        </w:rPr>
        <w:t>教务处根据学生生源情况，结合学生处、二级学院的推荐意见，一所基地学校确定一名实习生为实习组长。如一所基地学校同一专业实习生人数较多，可确定一名专业组长，以协助实习组长的工作。</w:t>
      </w:r>
    </w:p>
    <w:p>
      <w:pPr>
        <w:pStyle w:val="6"/>
        <w:adjustRightInd w:val="0"/>
        <w:snapToGrid w:val="0"/>
        <w:spacing w:line="360" w:lineRule="auto"/>
        <w:ind w:firstLine="482"/>
        <w:rPr>
          <w:rFonts w:ascii="宋体" w:hAnsi="宋体"/>
          <w:bCs/>
          <w:sz w:val="24"/>
        </w:rPr>
      </w:pPr>
      <w:r>
        <w:rPr>
          <w:rFonts w:hint="eastAsia" w:ascii="宋体" w:hAnsi="宋体"/>
          <w:b/>
          <w:bCs/>
          <w:sz w:val="24"/>
        </w:rPr>
        <w:t>第二十二条</w:t>
      </w:r>
      <w:r>
        <w:rPr>
          <w:rFonts w:ascii="宋体" w:hAnsi="宋体"/>
          <w:b/>
          <w:bCs/>
          <w:sz w:val="24"/>
        </w:rPr>
        <w:t xml:space="preserve"> </w:t>
      </w:r>
      <w:r>
        <w:rPr>
          <w:rFonts w:hint="eastAsia" w:ascii="宋体" w:hAnsi="宋体"/>
          <w:sz w:val="24"/>
        </w:rPr>
        <w:t>实习组长职责</w:t>
      </w:r>
    </w:p>
    <w:p>
      <w:pPr>
        <w:pStyle w:val="6"/>
        <w:adjustRightInd w:val="0"/>
        <w:snapToGrid w:val="0"/>
        <w:spacing w:line="360" w:lineRule="auto"/>
        <w:ind w:firstLine="480"/>
        <w:rPr>
          <w:rFonts w:ascii="宋体" w:hAnsi="宋体"/>
          <w:sz w:val="24"/>
        </w:rPr>
      </w:pPr>
      <w:r>
        <w:rPr>
          <w:rFonts w:hint="eastAsia" w:ascii="宋体" w:hAnsi="宋体"/>
          <w:sz w:val="24"/>
        </w:rPr>
        <w:t>（一）督促实习小组同学完成实习任务，组织小组同学集体备课、试教和相互听课。</w:t>
      </w:r>
    </w:p>
    <w:p>
      <w:pPr>
        <w:pStyle w:val="6"/>
        <w:adjustRightInd w:val="0"/>
        <w:snapToGrid w:val="0"/>
        <w:spacing w:line="360" w:lineRule="auto"/>
        <w:ind w:firstLine="480"/>
        <w:rPr>
          <w:rFonts w:ascii="宋体" w:hAnsi="宋体"/>
          <w:sz w:val="24"/>
        </w:rPr>
      </w:pPr>
      <w:r>
        <w:rPr>
          <w:rFonts w:hint="eastAsia" w:ascii="宋体" w:hAnsi="宋体"/>
          <w:sz w:val="24"/>
        </w:rPr>
        <w:t>（二）关心实习小组同学的思想、生活、健康，以身作则，相互帮助，共同做好实习工作。</w:t>
      </w:r>
    </w:p>
    <w:p>
      <w:pPr>
        <w:pStyle w:val="6"/>
        <w:adjustRightInd w:val="0"/>
        <w:snapToGrid w:val="0"/>
        <w:spacing w:line="360" w:lineRule="auto"/>
        <w:ind w:firstLine="480"/>
        <w:rPr>
          <w:rFonts w:ascii="宋体" w:hAnsi="宋体"/>
          <w:sz w:val="24"/>
        </w:rPr>
      </w:pPr>
      <w:r>
        <w:rPr>
          <w:rFonts w:hint="eastAsia" w:ascii="宋体" w:hAnsi="宋体"/>
          <w:sz w:val="24"/>
        </w:rPr>
        <w:t>（三）组织学习有关文件，记录小组实习及纪律执行情况。</w:t>
      </w:r>
    </w:p>
    <w:p>
      <w:pPr>
        <w:pStyle w:val="6"/>
        <w:adjustRightInd w:val="0"/>
        <w:snapToGrid w:val="0"/>
        <w:spacing w:line="360" w:lineRule="auto"/>
        <w:ind w:firstLine="480"/>
        <w:rPr>
          <w:rFonts w:ascii="宋体" w:hAnsi="宋体"/>
          <w:sz w:val="24"/>
        </w:rPr>
      </w:pPr>
      <w:r>
        <w:rPr>
          <w:rFonts w:hint="eastAsia" w:ascii="宋体" w:hAnsi="宋体"/>
          <w:sz w:val="24"/>
        </w:rPr>
        <w:t>（四）协助基地学校做好实习生的管理工作。</w:t>
      </w:r>
    </w:p>
    <w:p>
      <w:pPr>
        <w:pStyle w:val="6"/>
        <w:adjustRightInd w:val="0"/>
        <w:snapToGrid w:val="0"/>
        <w:spacing w:line="360" w:lineRule="auto"/>
        <w:ind w:firstLine="480"/>
        <w:rPr>
          <w:rFonts w:ascii="宋体" w:hAnsi="宋体"/>
          <w:sz w:val="24"/>
        </w:rPr>
      </w:pPr>
      <w:r>
        <w:rPr>
          <w:rFonts w:hint="eastAsia" w:ascii="宋体" w:hAnsi="宋体"/>
          <w:sz w:val="24"/>
        </w:rPr>
        <w:t>（五）向基地学校反映实习生的意见和建议，及时向二级学院、教务处反馈本组实习工作情况。</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第八章</w:t>
      </w:r>
      <w:r>
        <w:rPr>
          <w:rFonts w:ascii="宋体" w:hAnsi="宋体" w:eastAsia="宋体" w:cs="宋体"/>
          <w:kern w:val="0"/>
          <w:sz w:val="24"/>
          <w:szCs w:val="24"/>
        </w:rPr>
        <w:t xml:space="preserve"> </w:t>
      </w:r>
      <w:r>
        <w:rPr>
          <w:rFonts w:hint="eastAsia" w:ascii="宋体" w:hAnsi="宋体" w:eastAsia="宋体" w:cs="宋体"/>
          <w:kern w:val="0"/>
          <w:sz w:val="24"/>
          <w:szCs w:val="24"/>
        </w:rPr>
        <w:t>成绩评定</w:t>
      </w:r>
    </w:p>
    <w:p>
      <w:pPr>
        <w:pStyle w:val="10"/>
        <w:widowControl w:val="0"/>
        <w:adjustRightInd w:val="0"/>
        <w:snapToGrid w:val="0"/>
        <w:spacing w:before="0" w:beforeAutospacing="0" w:after="0" w:afterAutospacing="0" w:line="360" w:lineRule="auto"/>
        <w:ind w:firstLine="482" w:firstLineChars="200"/>
        <w:jc w:val="both"/>
      </w:pPr>
      <w:r>
        <w:rPr>
          <w:rFonts w:hint="eastAsia"/>
          <w:b/>
        </w:rPr>
        <w:t>第二十三条</w:t>
      </w:r>
      <w:r>
        <w:t xml:space="preserve"> </w:t>
      </w:r>
      <w:r>
        <w:rPr>
          <w:rFonts w:hint="eastAsia"/>
        </w:rPr>
        <w:t>教育实践成绩由二级学院教育实习工作领导小组按优秀、良好、中等、及格和不及格五级记分制评定。</w:t>
      </w:r>
      <w:r>
        <w:rPr>
          <w:rFonts w:hint="eastAsia" w:cs="Tahoma"/>
          <w:kern w:val="2"/>
        </w:rPr>
        <w:t>学生的《教育</w:t>
      </w:r>
      <w:r>
        <w:rPr>
          <w:rFonts w:hint="eastAsia"/>
        </w:rPr>
        <w:t>实习成绩考核册》由二级学院存入学生个人档案，其它实践成绩考核册、实践材料由二级学院保存。</w:t>
      </w:r>
    </w:p>
    <w:p>
      <w:pPr>
        <w:adjustRightInd w:val="0"/>
        <w:snapToGrid w:val="0"/>
        <w:spacing w:line="360" w:lineRule="auto"/>
        <w:ind w:firstLine="475" w:firstLineChars="197"/>
        <w:jc w:val="left"/>
        <w:rPr>
          <w:rFonts w:ascii="宋体" w:hAnsi="宋体" w:eastAsia="宋体" w:cs="宋体"/>
          <w:kern w:val="0"/>
          <w:sz w:val="24"/>
          <w:szCs w:val="24"/>
        </w:rPr>
      </w:pPr>
      <w:r>
        <w:rPr>
          <w:rFonts w:hint="eastAsia" w:ascii="宋体" w:hAnsi="宋体" w:eastAsia="宋体" w:cs="宋体"/>
          <w:b/>
          <w:sz w:val="24"/>
          <w:szCs w:val="24"/>
        </w:rPr>
        <w:t>第二十四条</w:t>
      </w:r>
      <w:r>
        <w:rPr>
          <w:rFonts w:ascii="宋体" w:hAnsi="宋体" w:eastAsia="宋体" w:cs="宋体"/>
          <w:b/>
          <w:sz w:val="24"/>
          <w:szCs w:val="24"/>
        </w:rPr>
        <w:t xml:space="preserve"> </w:t>
      </w:r>
      <w:r>
        <w:rPr>
          <w:rFonts w:hint="eastAsia" w:ascii="宋体" w:hAnsi="宋体" w:eastAsia="宋体" w:cs="宋体"/>
          <w:kern w:val="0"/>
          <w:sz w:val="24"/>
          <w:szCs w:val="24"/>
        </w:rPr>
        <w:t>有下列情况之一者，成绩为不合格。</w:t>
      </w:r>
    </w:p>
    <w:p>
      <w:pPr>
        <w:adjustRightInd w:val="0"/>
        <w:snapToGrid w:val="0"/>
        <w:spacing w:line="360" w:lineRule="auto"/>
        <w:ind w:firstLine="472" w:firstLineChars="197"/>
        <w:jc w:val="left"/>
        <w:rPr>
          <w:rFonts w:ascii="宋体" w:hAnsi="宋体" w:eastAsia="宋体" w:cs="宋体"/>
          <w:kern w:val="0"/>
          <w:sz w:val="24"/>
          <w:szCs w:val="24"/>
        </w:rPr>
      </w:pPr>
      <w:r>
        <w:rPr>
          <w:rFonts w:hint="eastAsia" w:ascii="宋体" w:hAnsi="宋体" w:eastAsia="宋体" w:cs="宋体"/>
          <w:kern w:val="0"/>
          <w:sz w:val="24"/>
          <w:szCs w:val="24"/>
        </w:rPr>
        <w:t>（一）未完成相应实践教学任务者。</w:t>
      </w:r>
    </w:p>
    <w:p>
      <w:pPr>
        <w:adjustRightInd w:val="0"/>
        <w:snapToGrid w:val="0"/>
        <w:spacing w:line="360" w:lineRule="auto"/>
        <w:ind w:firstLine="472" w:firstLineChars="197"/>
        <w:jc w:val="left"/>
        <w:rPr>
          <w:rFonts w:ascii="宋体" w:hAnsi="宋体" w:eastAsia="宋体" w:cs="宋体"/>
          <w:kern w:val="0"/>
          <w:sz w:val="24"/>
          <w:szCs w:val="24"/>
        </w:rPr>
      </w:pPr>
      <w:r>
        <w:rPr>
          <w:rFonts w:hint="eastAsia" w:ascii="宋体" w:hAnsi="宋体" w:eastAsia="宋体" w:cs="宋体"/>
          <w:kern w:val="0"/>
          <w:sz w:val="24"/>
          <w:szCs w:val="24"/>
        </w:rPr>
        <w:t>（二）请假超过实践时间三分之一或以上者。</w:t>
      </w:r>
    </w:p>
    <w:p>
      <w:pPr>
        <w:adjustRightInd w:val="0"/>
        <w:snapToGrid w:val="0"/>
        <w:spacing w:line="360" w:lineRule="auto"/>
        <w:ind w:firstLine="472" w:firstLineChars="197"/>
        <w:jc w:val="left"/>
        <w:rPr>
          <w:rFonts w:ascii="宋体" w:hAnsi="宋体" w:eastAsia="宋体" w:cs="宋体"/>
          <w:kern w:val="0"/>
          <w:sz w:val="24"/>
          <w:szCs w:val="24"/>
        </w:rPr>
      </w:pPr>
      <w:r>
        <w:rPr>
          <w:rFonts w:hint="eastAsia" w:ascii="宋体" w:hAnsi="宋体" w:eastAsia="宋体"/>
          <w:sz w:val="24"/>
          <w:szCs w:val="24"/>
        </w:rPr>
        <w:t>（三）实践中有违纪现象，经教育不改；或有严重违纪行为；或造成重大事故</w:t>
      </w:r>
      <w:r>
        <w:rPr>
          <w:rFonts w:hint="eastAsia" w:ascii="宋体" w:hAnsi="宋体" w:eastAsia="宋体" w:cs="宋体"/>
          <w:kern w:val="0"/>
          <w:sz w:val="24"/>
          <w:szCs w:val="24"/>
        </w:rPr>
        <w:t>者。</w:t>
      </w:r>
    </w:p>
    <w:p>
      <w:pPr>
        <w:adjustRightInd w:val="0"/>
        <w:snapToGrid w:val="0"/>
        <w:spacing w:line="360" w:lineRule="auto"/>
        <w:ind w:firstLine="472" w:firstLineChars="197"/>
        <w:jc w:val="left"/>
        <w:rPr>
          <w:rFonts w:ascii="宋体" w:hAnsi="宋体" w:eastAsia="宋体" w:cs="宋体"/>
          <w:kern w:val="0"/>
          <w:sz w:val="24"/>
          <w:szCs w:val="24"/>
        </w:rPr>
      </w:pPr>
      <w:r>
        <w:rPr>
          <w:rFonts w:hint="eastAsia" w:ascii="宋体" w:hAnsi="宋体" w:eastAsia="宋体"/>
          <w:sz w:val="24"/>
          <w:szCs w:val="24"/>
        </w:rPr>
        <w:t>（四）违纪并给基地学校造成不良影响</w:t>
      </w:r>
      <w:r>
        <w:rPr>
          <w:rFonts w:hint="eastAsia" w:ascii="宋体" w:hAnsi="宋体" w:eastAsia="宋体" w:cs="宋体"/>
          <w:kern w:val="0"/>
          <w:sz w:val="24"/>
          <w:szCs w:val="24"/>
        </w:rPr>
        <w:t>者</w:t>
      </w:r>
      <w:r>
        <w:rPr>
          <w:rFonts w:hint="eastAsia" w:ascii="宋体" w:hAnsi="宋体" w:eastAsia="宋体"/>
          <w:sz w:val="24"/>
          <w:szCs w:val="24"/>
        </w:rPr>
        <w:t>。</w:t>
      </w:r>
    </w:p>
    <w:p>
      <w:pPr>
        <w:adjustRightInd w:val="0"/>
        <w:snapToGrid w:val="0"/>
        <w:spacing w:line="360" w:lineRule="auto"/>
        <w:ind w:firstLine="472" w:firstLineChars="197"/>
        <w:jc w:val="left"/>
        <w:rPr>
          <w:rFonts w:ascii="宋体" w:hAnsi="宋体" w:eastAsia="宋体"/>
          <w:sz w:val="24"/>
          <w:szCs w:val="24"/>
        </w:rPr>
      </w:pPr>
      <w:r>
        <w:rPr>
          <w:rFonts w:hint="eastAsia" w:ascii="宋体" w:hAnsi="宋体" w:eastAsia="宋体"/>
          <w:sz w:val="24"/>
          <w:szCs w:val="24"/>
        </w:rPr>
        <w:t>（五）违反内江师范学院相关规定，中途停止</w:t>
      </w:r>
      <w:r>
        <w:rPr>
          <w:rFonts w:hint="eastAsia" w:ascii="宋体" w:hAnsi="宋体" w:eastAsia="宋体"/>
          <w:iCs/>
          <w:sz w:val="24"/>
          <w:szCs w:val="24"/>
        </w:rPr>
        <w:t>教育实践</w:t>
      </w:r>
      <w:r>
        <w:rPr>
          <w:rFonts w:hint="eastAsia" w:ascii="宋体" w:hAnsi="宋体" w:eastAsia="宋体" w:cs="宋体"/>
          <w:kern w:val="0"/>
          <w:sz w:val="24"/>
          <w:szCs w:val="24"/>
        </w:rPr>
        <w:t>者</w:t>
      </w:r>
      <w:r>
        <w:rPr>
          <w:rFonts w:hint="eastAsia" w:ascii="宋体" w:hAnsi="宋体" w:eastAsia="宋体"/>
          <w:sz w:val="24"/>
          <w:szCs w:val="24"/>
        </w:rPr>
        <w:t>。</w:t>
      </w:r>
    </w:p>
    <w:p>
      <w:pPr>
        <w:adjustRightInd w:val="0"/>
        <w:snapToGrid w:val="0"/>
        <w:spacing w:line="360" w:lineRule="auto"/>
        <w:ind w:firstLine="472" w:firstLineChars="197"/>
        <w:jc w:val="left"/>
        <w:rPr>
          <w:rFonts w:ascii="宋体" w:hAnsi="宋体" w:eastAsia="宋体" w:cs="宋体"/>
          <w:kern w:val="0"/>
          <w:sz w:val="24"/>
          <w:szCs w:val="24"/>
        </w:rPr>
      </w:pPr>
      <w:r>
        <w:rPr>
          <w:rFonts w:hint="eastAsia" w:ascii="宋体" w:hAnsi="宋体" w:eastAsia="宋体" w:cs="宋体"/>
          <w:kern w:val="0"/>
          <w:sz w:val="24"/>
          <w:szCs w:val="24"/>
        </w:rPr>
        <w:t>（六）其它违反国家与学校有关规定的行为者。</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第九章 经费保障</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第二十五条</w:t>
      </w:r>
      <w:r>
        <w:rPr>
          <w:rFonts w:hint="eastAsia" w:ascii="宋体" w:hAnsi="宋体" w:eastAsia="宋体" w:cs="宋体"/>
          <w:kern w:val="0"/>
          <w:sz w:val="24"/>
          <w:szCs w:val="24"/>
        </w:rPr>
        <w:t xml:space="preserve"> 指导教师的酬金由二级学院支付，差旅费由学校报销。指导教师带队外出教育实践的工作量，每周以6天计算，每人每天不得低于3个教分；指导教师在校内指导教育实践的工作量，在培养方案规定的课时内以实际实施的课时为计算依据。指导教师指导教育实践应纳入教师教学工作量考核。</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 xml:space="preserve">第二十六条 </w:t>
      </w:r>
      <w:r>
        <w:rPr>
          <w:rFonts w:hint="eastAsia" w:ascii="宋体" w:hAnsi="宋体" w:eastAsia="宋体" w:cs="宋体"/>
          <w:kern w:val="0"/>
          <w:sz w:val="24"/>
          <w:szCs w:val="24"/>
        </w:rPr>
        <w:t>学生外出实践的交通及住宿补助和基地学校指导教师的经费标准参照学校相关标准执行。</w:t>
      </w:r>
    </w:p>
    <w:p>
      <w:pPr>
        <w:pStyle w:val="2"/>
        <w:adjustRightInd w:val="0"/>
        <w:snapToGrid w:val="0"/>
        <w:spacing w:before="120" w:after="120"/>
        <w:ind w:firstLine="482"/>
        <w:jc w:val="center"/>
        <w:rPr>
          <w:rFonts w:ascii="宋体" w:hAnsi="宋体" w:eastAsia="宋体" w:cs="宋体"/>
          <w:kern w:val="0"/>
          <w:sz w:val="24"/>
          <w:szCs w:val="24"/>
        </w:rPr>
      </w:pPr>
      <w:r>
        <w:rPr>
          <w:rFonts w:hint="eastAsia" w:ascii="宋体" w:hAnsi="宋体" w:eastAsia="宋体" w:cs="宋体"/>
          <w:kern w:val="0"/>
          <w:sz w:val="24"/>
          <w:szCs w:val="24"/>
        </w:rPr>
        <w:t>第十章</w:t>
      </w:r>
      <w:r>
        <w:rPr>
          <w:rFonts w:ascii="宋体" w:hAnsi="宋体" w:eastAsia="宋体" w:cs="宋体"/>
          <w:kern w:val="0"/>
          <w:sz w:val="24"/>
          <w:szCs w:val="24"/>
        </w:rPr>
        <w:t xml:space="preserve"> </w:t>
      </w:r>
      <w:r>
        <w:rPr>
          <w:rFonts w:hint="eastAsia" w:ascii="宋体" w:hAnsi="宋体" w:eastAsia="宋体" w:cs="宋体"/>
          <w:kern w:val="0"/>
          <w:sz w:val="24"/>
          <w:szCs w:val="24"/>
        </w:rPr>
        <w:t>附 则</w:t>
      </w:r>
    </w:p>
    <w:p>
      <w:pPr>
        <w:adjustRightInd w:val="0"/>
        <w:snapToGri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第</w:t>
      </w:r>
      <w:r>
        <w:rPr>
          <w:rFonts w:hint="eastAsia" w:ascii="宋体" w:hAnsi="宋体" w:eastAsia="宋体"/>
          <w:b/>
          <w:bCs/>
          <w:sz w:val="24"/>
          <w:szCs w:val="24"/>
        </w:rPr>
        <w:t>二十七</w:t>
      </w:r>
      <w:r>
        <w:rPr>
          <w:rFonts w:hint="eastAsia" w:ascii="宋体" w:hAnsi="宋体" w:eastAsia="宋体" w:cs="宋体"/>
          <w:b/>
          <w:kern w:val="0"/>
          <w:sz w:val="24"/>
          <w:szCs w:val="24"/>
        </w:rPr>
        <w:t>条</w:t>
      </w:r>
      <w:r>
        <w:rPr>
          <w:rFonts w:ascii="宋体" w:hAnsi="宋体" w:eastAsia="宋体" w:cs="宋体"/>
          <w:kern w:val="0"/>
          <w:sz w:val="24"/>
          <w:szCs w:val="24"/>
        </w:rPr>
        <w:t xml:space="preserve"> </w:t>
      </w:r>
      <w:r>
        <w:rPr>
          <w:rFonts w:hint="eastAsia" w:ascii="宋体" w:hAnsi="宋体" w:eastAsia="宋体" w:cs="宋体"/>
          <w:kern w:val="0"/>
          <w:sz w:val="24"/>
          <w:szCs w:val="24"/>
        </w:rPr>
        <w:t>本办法自发文之日起执行</w:t>
      </w:r>
      <w:r>
        <w:rPr>
          <w:rFonts w:hint="eastAsia" w:ascii="宋体" w:hAnsi="宋体" w:eastAsia="宋体"/>
          <w:sz w:val="24"/>
          <w:szCs w:val="24"/>
        </w:rPr>
        <w:t>，原《内江师范学院教育实习管理条例（修订）》（内师教〔2010〕59号）同时废止</w:t>
      </w:r>
      <w:r>
        <w:rPr>
          <w:rFonts w:hint="eastAsia" w:ascii="宋体" w:hAnsi="宋体" w:eastAsia="宋体" w:cs="宋体"/>
          <w:kern w:val="0"/>
          <w:sz w:val="24"/>
          <w:szCs w:val="24"/>
        </w:rPr>
        <w:t>，由教务处负责解释</w:t>
      </w:r>
      <w:r>
        <w:rPr>
          <w:rFonts w:hint="eastAsia" w:ascii="宋体" w:hAnsi="宋体" w:eastAsia="宋体"/>
          <w:sz w:val="24"/>
          <w:szCs w:val="24"/>
        </w:rPr>
        <w:t>。</w:t>
      </w:r>
    </w:p>
    <w:p>
      <w:pPr>
        <w:spacing w:line="580" w:lineRule="exact"/>
        <w:ind w:left="3574" w:right="838" w:rightChars="399" w:hanging="3573" w:hangingChars="1489"/>
        <w:jc w:val="right"/>
        <w:rPr>
          <w:rFonts w:ascii="宋体" w:hAnsi="宋体" w:eastAsia="宋体"/>
        </w:rPr>
      </w:pPr>
      <w:r>
        <w:rPr>
          <w:rFonts w:hint="eastAsia" w:ascii="宋体" w:hAnsi="宋体" w:eastAsia="宋体"/>
          <w:sz w:val="24"/>
          <w:szCs w:val="24"/>
        </w:rPr>
        <w:t xml:space="preserve">                           </w:t>
      </w:r>
      <w:r>
        <w:rPr>
          <w:rFonts w:hint="eastAsia" w:ascii="宋体" w:hAnsi="宋体" w:eastAsia="宋体"/>
        </w:rPr>
        <w:t xml:space="preserve"> </w:t>
      </w:r>
    </w:p>
    <w:p>
      <w:pPr>
        <w:spacing w:line="580" w:lineRule="exact"/>
        <w:ind w:left="3574" w:right="838" w:rightChars="399" w:hanging="3573" w:hangingChars="1489"/>
        <w:jc w:val="right"/>
        <w:rPr>
          <w:rFonts w:ascii="宋体" w:hAnsi="宋体" w:eastAsia="宋体"/>
          <w:sz w:val="24"/>
          <w:szCs w:val="24"/>
        </w:rPr>
      </w:pPr>
      <w:r>
        <w:rPr>
          <w:rFonts w:hint="eastAsia" w:ascii="宋体" w:hAnsi="宋体" w:eastAsia="宋体"/>
          <w:sz w:val="24"/>
          <w:szCs w:val="24"/>
        </w:rPr>
        <w:t>2018年5月18日</w:t>
      </w:r>
    </w:p>
    <w:p>
      <w:pPr>
        <w:adjustRightInd w:val="0"/>
        <w:snapToGrid w:val="0"/>
        <w:spacing w:line="360" w:lineRule="auto"/>
        <w:ind w:left="3574" w:hanging="3573" w:hangingChars="1489"/>
        <w:jc w:val="right"/>
        <w:rPr>
          <w:rFonts w:ascii="宋体" w:hAnsi="宋体" w:eastAsia="宋体"/>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adjustRightInd w:val="0"/>
        <w:snapToGrid w:val="0"/>
        <w:spacing w:line="560" w:lineRule="exact"/>
        <w:jc w:val="center"/>
        <w:rPr>
          <w:rFonts w:asciiTheme="majorEastAsia" w:hAnsiTheme="majorEastAsia" w:eastAsiaTheme="majorEastAsia"/>
          <w:b/>
          <w:bCs/>
          <w:sz w:val="32"/>
          <w:szCs w:val="32"/>
          <w:shd w:val="clear" w:color="auto" w:fill="FFFFFF"/>
        </w:rPr>
      </w:pPr>
      <w:r>
        <w:rPr>
          <w:rFonts w:hint="eastAsia" w:asciiTheme="majorEastAsia" w:hAnsiTheme="majorEastAsia" w:eastAsiaTheme="majorEastAsia"/>
          <w:b/>
          <w:bCs/>
          <w:sz w:val="32"/>
          <w:szCs w:val="32"/>
          <w:shd w:val="clear" w:color="auto" w:fill="FFFFFF"/>
        </w:rPr>
        <w:t>内江师范学院专业实践管理办法（试行）</w:t>
      </w:r>
    </w:p>
    <w:p>
      <w:pPr>
        <w:widowControl/>
        <w:adjustRightInd w:val="0"/>
        <w:snapToGrid w:val="0"/>
        <w:spacing w:line="560" w:lineRule="exact"/>
        <w:jc w:val="center"/>
        <w:rPr>
          <w:rFonts w:asciiTheme="majorEastAsia" w:hAnsiTheme="majorEastAsia" w:eastAsiaTheme="majorEastAsia"/>
          <w:b/>
          <w:bCs/>
          <w:sz w:val="28"/>
          <w:szCs w:val="28"/>
          <w:shd w:val="clear" w:color="auto" w:fill="FFFFFF"/>
        </w:rPr>
      </w:pPr>
      <w:r>
        <w:rPr>
          <w:rFonts w:hint="eastAsia" w:asciiTheme="majorEastAsia" w:hAnsiTheme="majorEastAsia" w:eastAsiaTheme="majorEastAsia"/>
          <w:b/>
          <w:bCs/>
          <w:sz w:val="28"/>
          <w:szCs w:val="28"/>
          <w:shd w:val="clear" w:color="auto" w:fill="FFFFFF"/>
        </w:rPr>
        <w:t>内师教字</w:t>
      </w:r>
      <w:r>
        <w:rPr>
          <w:rFonts w:hint="eastAsia" w:cs="宋体" w:asciiTheme="minorEastAsia" w:hAnsiTheme="minorEastAsia"/>
          <w:b/>
          <w:color w:val="000000"/>
          <w:kern w:val="0"/>
          <w:sz w:val="28"/>
          <w:szCs w:val="28"/>
        </w:rPr>
        <w:t>〔201</w:t>
      </w:r>
      <w:r>
        <w:rPr>
          <w:rFonts w:cs="宋体" w:asciiTheme="minorEastAsia" w:hAnsiTheme="minorEastAsia"/>
          <w:b/>
          <w:color w:val="000000"/>
          <w:kern w:val="0"/>
          <w:sz w:val="28"/>
          <w:szCs w:val="28"/>
        </w:rPr>
        <w:t>8</w:t>
      </w:r>
      <w:r>
        <w:rPr>
          <w:rFonts w:hint="eastAsia" w:cs="宋体" w:asciiTheme="minorEastAsia" w:hAnsiTheme="minorEastAsia"/>
          <w:b/>
          <w:color w:val="000000"/>
          <w:kern w:val="0"/>
          <w:sz w:val="28"/>
          <w:szCs w:val="28"/>
        </w:rPr>
        <w:t>〕</w:t>
      </w:r>
      <w:r>
        <w:rPr>
          <w:rFonts w:hint="eastAsia" w:asciiTheme="majorEastAsia" w:hAnsiTheme="majorEastAsia" w:eastAsiaTheme="majorEastAsia"/>
          <w:b/>
          <w:bCs/>
          <w:sz w:val="28"/>
          <w:szCs w:val="28"/>
          <w:shd w:val="clear" w:color="auto" w:fill="FFFFFF"/>
        </w:rPr>
        <w:t>64号</w:t>
      </w:r>
    </w:p>
    <w:p>
      <w:pPr>
        <w:widowControl/>
        <w:adjustRightInd w:val="0"/>
        <w:snapToGrid w:val="0"/>
        <w:spacing w:line="560" w:lineRule="exact"/>
        <w:jc w:val="center"/>
        <w:rPr>
          <w:rFonts w:ascii="方正小标宋简体" w:hAnsi="仿宋" w:eastAsia="方正小标宋简体"/>
          <w:bCs/>
          <w:sz w:val="30"/>
          <w:szCs w:val="30"/>
          <w:shd w:val="clear" w:color="auto" w:fill="FFFFFF"/>
        </w:rPr>
      </w:pPr>
    </w:p>
    <w:p>
      <w:pPr>
        <w:pStyle w:val="2"/>
        <w:adjustRightInd w:val="0"/>
        <w:snapToGrid w:val="0"/>
        <w:ind w:firstLine="482"/>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第一章 总　则</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第一条 </w:t>
      </w:r>
      <w:r>
        <w:rPr>
          <w:rFonts w:hint="eastAsia" w:cs="宋体" w:asciiTheme="minorEastAsia" w:hAnsiTheme="minorEastAsia"/>
          <w:color w:val="000000"/>
          <w:kern w:val="0"/>
          <w:sz w:val="24"/>
          <w:szCs w:val="24"/>
        </w:rPr>
        <w:t>专业实践是本科培养方案的重要组成部分，是培养学生综合运用专业知识分析、解决实际问题的能力，增强学生职业道德意识和社会责任感。为加强专业实践工作，提高实践教学质量，特制定本办法。</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第二条 </w:t>
      </w:r>
      <w:r>
        <w:rPr>
          <w:rFonts w:hint="eastAsia" w:cs="宋体" w:asciiTheme="minorEastAsia" w:hAnsiTheme="minorEastAsia"/>
          <w:color w:val="000000"/>
          <w:kern w:val="0"/>
          <w:sz w:val="24"/>
          <w:szCs w:val="24"/>
        </w:rPr>
        <w:t>本办法所指专业实践是指人才培养方案中规定的除教育实践之外的各类见习、实习、实训、专业考察、艺术实践（采风、写生）等实践教学环节。</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第三条 </w:t>
      </w:r>
      <w:r>
        <w:rPr>
          <w:rFonts w:hint="eastAsia" w:cs="宋体" w:asciiTheme="minorEastAsia" w:hAnsiTheme="minorEastAsia"/>
          <w:color w:val="000000"/>
          <w:kern w:val="0"/>
          <w:sz w:val="24"/>
          <w:szCs w:val="24"/>
        </w:rPr>
        <w:t>专业实践目的</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（一）通过对实习基地进行有针对性的参观、学习，提高对本专业的了解和认识，增加学习兴趣和专业认同感，为专业课程的学习奠定基础。</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（二）使学生将所学专业的基础知识、基本理论和基本技能综合运用于实践，从而使学生了解社会、接触生产实际、增强劳动观念，培养学生的独立工作能力。</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（三）加强我校与企事业单位的联系，通过实践获得反馈信息，不断改进我校教育教学工作，提高人才培养质量。</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第四条 </w:t>
      </w:r>
      <w:r>
        <w:rPr>
          <w:rFonts w:hint="eastAsia" w:cs="宋体" w:asciiTheme="minorEastAsia" w:hAnsiTheme="minorEastAsia"/>
          <w:color w:val="000000"/>
          <w:kern w:val="0"/>
          <w:sz w:val="24"/>
          <w:szCs w:val="24"/>
        </w:rPr>
        <w:t>专业实践的教学基本要求</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（一）严格执行专业实践方案，根据方案要求完成专业实践内容，不得随意缩短专业实践时间。</w:t>
      </w:r>
      <w:r>
        <w:rPr>
          <w:rFonts w:hint="eastAsia" w:cs="Calibri" w:asciiTheme="minorEastAsia" w:hAnsiTheme="minorEastAsia"/>
          <w:color w:val="000000"/>
          <w:kern w:val="0"/>
          <w:sz w:val="24"/>
          <w:szCs w:val="24"/>
        </w:rPr>
        <w:t> </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（二）遵守基地单位规章制度，尊重指导教师，虚心学习，注意培养自身职业道德意识和社会责任感。</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第二章 组织机构及职责</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第五条 </w:t>
      </w:r>
      <w:r>
        <w:rPr>
          <w:rFonts w:hint="eastAsia" w:cs="宋体" w:asciiTheme="minorEastAsia" w:hAnsiTheme="minorEastAsia"/>
          <w:color w:val="000000"/>
          <w:kern w:val="0"/>
          <w:sz w:val="24"/>
          <w:szCs w:val="24"/>
        </w:rPr>
        <w:t>实践教学工作实行校院两级管理，学校成立实践教学指导委员会，二级学院成立实践教学工作领导小组，统筹安排各专业实践教学工作。</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第六条 </w:t>
      </w:r>
      <w:r>
        <w:rPr>
          <w:rFonts w:hint="eastAsia" w:cs="宋体" w:asciiTheme="minorEastAsia" w:hAnsiTheme="minorEastAsia"/>
          <w:color w:val="000000"/>
          <w:kern w:val="0"/>
          <w:sz w:val="24"/>
          <w:szCs w:val="24"/>
        </w:rPr>
        <w:t>实践教学指导委员会由分管教学校长任组长，教务处、评估处、学生处等部门负责人和教学指导委员会、教学督导委员会成员组成。具体组织管理工作由教务处负责，主要职责是：</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（一）制订全校实践教学工作管理办法；</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（二）审定实践教学计划和预算实践教学经费；</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（三）负责处理全校实践教学日常工作；</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（四）检查实践教学工作开展情况，研究解决实践教学中出现的问题；</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（五）组织全校性实践教学工作总结和经验交流。</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第七条 </w:t>
      </w:r>
      <w:r>
        <w:rPr>
          <w:rFonts w:hint="eastAsia" w:cs="宋体" w:asciiTheme="minorEastAsia" w:hAnsiTheme="minorEastAsia"/>
          <w:kern w:val="0"/>
          <w:sz w:val="24"/>
          <w:szCs w:val="24"/>
        </w:rPr>
        <w:t>实践教学工作领导小组由二级学院院长任组长，分管教学工作的院长和分管学生工作的党总支书记任副组长、教研室主任、专业负责人、教学科研办公室主任、班主任、教师代表为成员构成。具体落实实践教学各项工作，主要职责是：</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（一）组织制订当年实践教学计划；</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（二）落实实践教学场所；</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（三）选派和考核实践教学指导教师；</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（四）做好组织动员工作； </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（五）做好实践教学质量监控；</w:t>
      </w:r>
    </w:p>
    <w:p>
      <w:pPr>
        <w:widowControl/>
        <w:shd w:val="clear" w:color="auto" w:fill="FFFFFF"/>
        <w:adjustRightInd w:val="0"/>
        <w:snapToGri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（六）组织实践教学经验交流会，总结、评优。</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第三章 组织实施</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第八条 </w:t>
      </w:r>
      <w:r>
        <w:rPr>
          <w:rFonts w:hint="eastAsia" w:cs="宋体" w:asciiTheme="minorEastAsia" w:hAnsiTheme="minorEastAsia"/>
          <w:color w:val="000000"/>
          <w:kern w:val="0"/>
          <w:sz w:val="24"/>
          <w:szCs w:val="24"/>
        </w:rPr>
        <w:t>专业实践须有专业实践大纲和实践方案，实践方案的制定要求如下：</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（一）专业实践方案是按专业实践大纲要求，结合实践单位情况拟订的执行方案。</w:t>
      </w:r>
    </w:p>
    <w:p>
      <w:pPr>
        <w:widowControl/>
        <w:shd w:val="clear" w:color="auto" w:fill="FFFFFF"/>
        <w:adjustRightInd w:val="0"/>
        <w:snapToGrid w:val="0"/>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实践方案由教研室（专业负责人或带头人）制订，在专业实践开展前2周，经教研室和二级学院审定并报送教务处同意后实施。专业实践方案应包括：专业实践的目的、内容与要求；经费开支范围及预算；专业实践安排表（学生姓名、指导教师姓名、基地单位名称、安排形式等）；专业实践过程中突发事件处理预案；检查安排；考核要求与成绩评定标准。</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第九条 </w:t>
      </w:r>
      <w:r>
        <w:rPr>
          <w:rFonts w:hint="eastAsia" w:cs="宋体" w:asciiTheme="minorEastAsia" w:hAnsiTheme="minorEastAsia"/>
          <w:color w:val="000000"/>
          <w:kern w:val="0"/>
          <w:sz w:val="24"/>
          <w:szCs w:val="24"/>
        </w:rPr>
        <w:t>专业实践原则上要求集中安排，根据专业和学生实际情况，允许少部分学生自行联系实践单位分散进行。无论采用何种形式，都须满足大纲要求，达到专业实践目的。对于分散实践的学生，二级学院要加强组织领导，制定切实可行的管理办法，严格实践要求，决不能放任自流。</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第四章 实践基地建设</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第十条 </w:t>
      </w:r>
      <w:r>
        <w:rPr>
          <w:rFonts w:hint="eastAsia" w:cs="宋体" w:asciiTheme="minorEastAsia" w:hAnsiTheme="minorEastAsia"/>
          <w:color w:val="000000"/>
          <w:kern w:val="0"/>
          <w:sz w:val="24"/>
          <w:szCs w:val="24"/>
        </w:rPr>
        <w:t>二级学院应重视实践基地建设，认真做好实践基地建设规划。基地建设须指定专人负责，建立和巩固实践与就业相结合的实践基地。</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第十一条 </w:t>
      </w:r>
      <w:r>
        <w:rPr>
          <w:rFonts w:hint="eastAsia" w:cs="宋体" w:asciiTheme="minorEastAsia" w:hAnsiTheme="minorEastAsia"/>
          <w:color w:val="000000"/>
          <w:kern w:val="0"/>
          <w:sz w:val="24"/>
          <w:szCs w:val="24"/>
        </w:rPr>
        <w:t>建立实践基地的总体要求和申报程序：</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（一）各专业根据专业特点应建立相对稳定和充足的实践基地。</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（二）专业对口，实践基地的条件能满足实践教学大纲要求。</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t>（三）二级学院根据不同专业和学科性质特点，有目的、有计划、有步骤地选择能满足实习教学条件的企事业单位，对拟建实习基地进行考察论证, 与实习基地所在单位协商并达成共识后，报学校审定，共同签订实践教学基地合作协议书。</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第五章 指导教师及职责</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第十二条 </w:t>
      </w:r>
      <w:r>
        <w:rPr>
          <w:rFonts w:hint="eastAsia" w:cs="宋体" w:asciiTheme="minorEastAsia" w:hAnsiTheme="minorEastAsia"/>
          <w:color w:val="000000"/>
          <w:kern w:val="0"/>
          <w:sz w:val="24"/>
          <w:szCs w:val="24"/>
        </w:rPr>
        <w:t>指导教师选派</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实践指导教师由经验丰富、责任心强的教师担任。所有专业教师都有参加指导学生实践的义务，二级学院应根据专业实践内容选派指导教师，加强实践指导教师队伍建设，形成较为稳定的实践指导教师队伍。</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第十三条 </w:t>
      </w:r>
      <w:r>
        <w:rPr>
          <w:rFonts w:hint="eastAsia" w:cs="宋体" w:asciiTheme="minorEastAsia" w:hAnsiTheme="minorEastAsia"/>
          <w:color w:val="000000"/>
          <w:kern w:val="0"/>
          <w:sz w:val="24"/>
          <w:szCs w:val="24"/>
        </w:rPr>
        <w:t>指导教师职责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（一）提前熟悉实践单位情况，做好准备工作，结合实践教学大纲要求与实践单位共同制定实践方案。</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（二）掌握学生思想状况，加强对学生进行纪律、安全、保密等方面的教育，防止意外事故发生，适时进行思想教育工作。</w:t>
      </w:r>
    </w:p>
    <w:p>
      <w:pPr>
        <w:adjustRightInd w:val="0"/>
        <w:snapToGrid w:val="0"/>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sz w:val="24"/>
          <w:szCs w:val="24"/>
        </w:rPr>
        <w:t>（三）积极配合实践单位解决学生实践中的问题，争取实践单位的支持和帮助。协同实践单位做好学生的成绩评定和总结工作。</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第六章 学生行为规范</w:t>
      </w:r>
    </w:p>
    <w:p>
      <w:pPr>
        <w:widowControl/>
        <w:shd w:val="clear" w:color="auto" w:fill="FFFFFF"/>
        <w:adjustRightInd w:val="0"/>
        <w:snapToGrid w:val="0"/>
        <w:spacing w:line="360" w:lineRule="auto"/>
        <w:ind w:firstLine="482" w:firstLineChars="200"/>
        <w:rPr>
          <w:rFonts w:asciiTheme="minorEastAsia" w:hAnsiTheme="minorEastAsia"/>
          <w:bCs/>
          <w:color w:val="000000"/>
          <w:sz w:val="24"/>
          <w:szCs w:val="24"/>
        </w:rPr>
      </w:pPr>
      <w:r>
        <w:rPr>
          <w:rFonts w:hint="eastAsia" w:cs="宋体" w:asciiTheme="minorEastAsia" w:hAnsiTheme="minorEastAsia"/>
          <w:b/>
          <w:color w:val="000000"/>
          <w:kern w:val="0"/>
          <w:sz w:val="24"/>
          <w:szCs w:val="24"/>
        </w:rPr>
        <w:t xml:space="preserve">第十四条 </w:t>
      </w:r>
      <w:r>
        <w:rPr>
          <w:rFonts w:hint="eastAsia" w:asciiTheme="minorEastAsia" w:hAnsiTheme="minorEastAsia"/>
          <w:bCs/>
          <w:color w:val="000000"/>
          <w:sz w:val="24"/>
          <w:szCs w:val="24"/>
        </w:rPr>
        <w:t>学生行为规范</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（一）有敬业精神，刻苦钻研生产技术和管理知识，认真学习，服从分配，勇挑重担；按照实践的内容与要求全面完成规定的实践项目，主动向指导教师汇报。</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（二）服从实践单位的管理，尊重实践单位员工，虚心接受指导；若对实践单位有意见或建议，应报学校指导教师，以恰当的方式处理。</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（三）严格遵守实践单位的各项规章制度及操作规程，注意安全、爱护公物、勤俭节约。</w:t>
      </w:r>
      <w:r>
        <w:rPr>
          <w:rFonts w:hint="eastAsia" w:asciiTheme="minorEastAsia" w:hAnsiTheme="minorEastAsia"/>
          <w:color w:val="000000"/>
          <w:sz w:val="24"/>
          <w:szCs w:val="24"/>
        </w:rPr>
        <w:t>如有违纪行为，将按学校及实践单位有关规定，视情节轻重给予批评教育直至纪律处分，给实践单位造成损失的，按相关规定予以赔偿。</w:t>
      </w:r>
    </w:p>
    <w:p>
      <w:pPr>
        <w:pStyle w:val="6"/>
        <w:adjustRightInd w:val="0"/>
        <w:snapToGrid w:val="0"/>
        <w:spacing w:line="360" w:lineRule="auto"/>
        <w:ind w:firstLine="48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（四）中途不得私自调换实践单位，确因特殊情况需调换者，须由本人提出书面申请，经二级学院同意后方可调换；凡未经批准私自调换实践单位者，成绩记零分。</w:t>
      </w:r>
    </w:p>
    <w:p>
      <w:pPr>
        <w:pStyle w:val="6"/>
        <w:adjustRightInd w:val="0"/>
        <w:snapToGrid w:val="0"/>
        <w:spacing w:line="360" w:lineRule="auto"/>
        <w:ind w:firstLine="480"/>
        <w:jc w:val="both"/>
        <w:rPr>
          <w:rFonts w:asciiTheme="minorEastAsia" w:hAnsiTheme="minorEastAsia" w:eastAsiaTheme="minorEastAsia"/>
          <w:sz w:val="24"/>
        </w:rPr>
      </w:pPr>
      <w:r>
        <w:rPr>
          <w:rFonts w:hint="eastAsia" w:asciiTheme="minorEastAsia" w:hAnsiTheme="minorEastAsia" w:eastAsiaTheme="minorEastAsia"/>
          <w:sz w:val="24"/>
        </w:rPr>
        <w:t>（五）学生在专业</w:t>
      </w:r>
      <w:r>
        <w:rPr>
          <w:rFonts w:hint="eastAsia" w:asciiTheme="minorEastAsia" w:hAnsiTheme="minorEastAsia" w:eastAsiaTheme="minorEastAsia"/>
          <w:bCs/>
          <w:sz w:val="24"/>
        </w:rPr>
        <w:t>实践</w:t>
      </w:r>
      <w:r>
        <w:rPr>
          <w:rFonts w:hint="eastAsia" w:asciiTheme="minorEastAsia" w:hAnsiTheme="minorEastAsia" w:eastAsiaTheme="minorEastAsia"/>
          <w:sz w:val="24"/>
        </w:rPr>
        <w:t>期间一般不得请假。如确实因事、因病（须附二级甲等及以上医院的证明）等需要请假，必须履行请假手续。在校外实践基地开展实践教学期间请假按以下程序办理：请假1天内，由二级学院指导教师和实践基地负责人审批；请假1天以上3天以内，经二级学院指导教师和实践基地负责人同意后，报二级学院实践教学工作领导小组批准，并报教务处备案；请假3天以上，经二级学院指导教师和实践基地负责人同意后，报二级学院实践教学工作领导小组批准，并报教务处审批。</w:t>
      </w:r>
    </w:p>
    <w:p>
      <w:pPr>
        <w:pStyle w:val="6"/>
        <w:adjustRightInd w:val="0"/>
        <w:snapToGrid w:val="0"/>
        <w:spacing w:line="360" w:lineRule="auto"/>
        <w:ind w:firstLine="482"/>
        <w:jc w:val="center"/>
        <w:outlineLvl w:val="0"/>
        <w:rPr>
          <w:rFonts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第七章 成绩考核与评定</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sz w:val="24"/>
          <w:szCs w:val="24"/>
        </w:rPr>
        <w:t xml:space="preserve">第十五条 </w:t>
      </w:r>
      <w:r>
        <w:rPr>
          <w:rFonts w:hint="eastAsia" w:cs="宋体" w:asciiTheme="minorEastAsia" w:hAnsiTheme="minorEastAsia"/>
          <w:color w:val="000000"/>
          <w:kern w:val="0"/>
          <w:sz w:val="24"/>
          <w:szCs w:val="24"/>
        </w:rPr>
        <w:t>学生必须完成全部实践任务，写好实践总结，方可参加考核。专业实践成绩综合学生在专业实践中所表现出的综合专业素质情况和运用专业知识发现问题、分析问题、解决问题能力进行评价，主要参考以下几方面进行评定：</w:t>
      </w:r>
    </w:p>
    <w:p>
      <w:pPr>
        <w:pStyle w:val="20"/>
        <w:widowControl/>
        <w:shd w:val="clear" w:color="auto" w:fill="FFFFFF"/>
        <w:adjustRightInd w:val="0"/>
        <w:snapToGrid w:val="0"/>
        <w:spacing w:line="360" w:lineRule="auto"/>
        <w:ind w:left="426" w:firstLine="0" w:firstLineChars="0"/>
        <w:rPr>
          <w:rFonts w:cs="宋体" w:asciiTheme="minorEastAsia" w:hAnsiTheme="minorEastAsia"/>
          <w:color w:val="000000"/>
          <w:kern w:val="0"/>
          <w:sz w:val="24"/>
          <w:szCs w:val="24"/>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.实践内容</w:t>
      </w:r>
      <w:r>
        <w:rPr>
          <w:rFonts w:cs="宋体" w:asciiTheme="minorEastAsia" w:hAnsiTheme="minorEastAsia"/>
          <w:color w:val="000000"/>
          <w:kern w:val="0"/>
          <w:sz w:val="24"/>
          <w:szCs w:val="24"/>
        </w:rPr>
        <w:t>完成</w:t>
      </w:r>
      <w:r>
        <w:rPr>
          <w:rFonts w:hint="eastAsia" w:cs="宋体" w:asciiTheme="minorEastAsia" w:hAnsiTheme="minorEastAsia"/>
          <w:color w:val="000000"/>
          <w:kern w:val="0"/>
          <w:sz w:val="24"/>
          <w:szCs w:val="24"/>
        </w:rPr>
        <w:t>情况；2.实践总结；3.实践调查报告；4.考勤签到情况；5.实践日志、实践作业等。</w:t>
      </w:r>
    </w:p>
    <w:p>
      <w:pPr>
        <w:widowControl/>
        <w:shd w:val="clear" w:color="auto" w:fill="FFFFFF"/>
        <w:adjustRightInd w:val="0"/>
        <w:snapToGrid w:val="0"/>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第十六条 考核与评定办法</w:t>
      </w:r>
    </w:p>
    <w:p>
      <w:pPr>
        <w:widowControl/>
        <w:shd w:val="clear" w:color="auto" w:fill="FFFFFF"/>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kern w:val="0"/>
          <w:sz w:val="24"/>
          <w:szCs w:val="24"/>
        </w:rPr>
        <w:t>专业实践成绩的考核与评定采取评语与评分相结合的办法全面、综合评定，实事求是地反映学生实践成绩。实践成绩按优、良、中、及格、不及格五级记分制记分。</w:t>
      </w:r>
      <w:r>
        <w:rPr>
          <w:rFonts w:hint="eastAsia" w:cs="Tahoma" w:asciiTheme="minorEastAsia" w:hAnsiTheme="minorEastAsia"/>
          <w:color w:val="000000"/>
          <w:sz w:val="24"/>
          <w:szCs w:val="24"/>
        </w:rPr>
        <w:t>学生的《专业</w:t>
      </w:r>
      <w:r>
        <w:rPr>
          <w:rFonts w:hint="eastAsia" w:cs="宋体" w:asciiTheme="minorEastAsia" w:hAnsiTheme="minorEastAsia"/>
          <w:color w:val="000000"/>
          <w:sz w:val="24"/>
          <w:szCs w:val="24"/>
        </w:rPr>
        <w:t>实习成绩考核册》由</w:t>
      </w:r>
      <w:r>
        <w:rPr>
          <w:rFonts w:hint="eastAsia" w:asciiTheme="minorEastAsia" w:hAnsiTheme="minorEastAsia"/>
          <w:color w:val="000000"/>
          <w:sz w:val="24"/>
          <w:szCs w:val="24"/>
        </w:rPr>
        <w:t>二级学院</w:t>
      </w:r>
      <w:r>
        <w:rPr>
          <w:rFonts w:hint="eastAsia" w:cs="宋体" w:asciiTheme="minorEastAsia" w:hAnsiTheme="minorEastAsia"/>
          <w:color w:val="000000"/>
          <w:sz w:val="24"/>
          <w:szCs w:val="24"/>
        </w:rPr>
        <w:t>存入学生个人档案，其它实践成绩考核册、实践材料由</w:t>
      </w:r>
      <w:r>
        <w:rPr>
          <w:rFonts w:hint="eastAsia" w:asciiTheme="minorEastAsia" w:hAnsiTheme="minorEastAsia"/>
          <w:color w:val="000000"/>
          <w:sz w:val="24"/>
          <w:szCs w:val="24"/>
        </w:rPr>
        <w:t>二级学院</w:t>
      </w:r>
      <w:r>
        <w:rPr>
          <w:rFonts w:hint="eastAsia" w:cs="宋体" w:asciiTheme="minorEastAsia" w:hAnsiTheme="minorEastAsia"/>
          <w:color w:val="000000"/>
          <w:sz w:val="24"/>
          <w:szCs w:val="24"/>
        </w:rPr>
        <w:t>保存。</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sz w:val="24"/>
          <w:szCs w:val="24"/>
        </w:rPr>
        <w:t xml:space="preserve">第十七条 </w:t>
      </w:r>
      <w:r>
        <w:rPr>
          <w:rFonts w:hint="eastAsia" w:cs="宋体" w:asciiTheme="minorEastAsia" w:hAnsiTheme="minorEastAsia"/>
          <w:color w:val="000000"/>
          <w:kern w:val="0"/>
          <w:sz w:val="24"/>
          <w:szCs w:val="24"/>
        </w:rPr>
        <w:t>有下列情况之一者，成绩为不及格</w:t>
      </w:r>
    </w:p>
    <w:p>
      <w:pPr>
        <w:widowControl/>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（一）未完成实践教学大纲的基本要求</w:t>
      </w:r>
      <w:r>
        <w:rPr>
          <w:rFonts w:hint="eastAsia" w:asciiTheme="minorEastAsia" w:hAnsiTheme="minorEastAsia"/>
          <w:color w:val="000000"/>
          <w:sz w:val="24"/>
          <w:szCs w:val="24"/>
        </w:rPr>
        <w:t>，</w:t>
      </w:r>
      <w:r>
        <w:rPr>
          <w:rFonts w:hint="eastAsia" w:cs="宋体" w:asciiTheme="minorEastAsia" w:hAnsiTheme="minorEastAsia"/>
          <w:color w:val="000000"/>
          <w:kern w:val="0"/>
          <w:sz w:val="24"/>
          <w:szCs w:val="24"/>
        </w:rPr>
        <w:t>没有完成相应任务者。</w:t>
      </w:r>
    </w:p>
    <w:p>
      <w:pPr>
        <w:widowControl/>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（二）请假超过实践时间三分之一及以上者。</w:t>
      </w:r>
    </w:p>
    <w:p>
      <w:pPr>
        <w:widowControl/>
        <w:adjustRightInd w:val="0"/>
        <w:snapToGrid w:val="0"/>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sz w:val="24"/>
          <w:szCs w:val="24"/>
        </w:rPr>
        <w:t>（三）实践中有违纪现象，经教育不改；或有严重违纪行为；或发生重大事故</w:t>
      </w:r>
      <w:r>
        <w:rPr>
          <w:rFonts w:hint="eastAsia" w:cs="宋体" w:asciiTheme="minorEastAsia" w:hAnsiTheme="minorEastAsia"/>
          <w:color w:val="000000"/>
          <w:kern w:val="0"/>
          <w:sz w:val="24"/>
          <w:szCs w:val="24"/>
        </w:rPr>
        <w:t>者。</w:t>
      </w:r>
    </w:p>
    <w:p>
      <w:pPr>
        <w:widowControl/>
        <w:adjustRightInd w:val="0"/>
        <w:snapToGrid w:val="0"/>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sz w:val="24"/>
          <w:szCs w:val="24"/>
        </w:rPr>
        <w:t>（四）违纪并给实践单位造成不良影响</w:t>
      </w:r>
      <w:r>
        <w:rPr>
          <w:rFonts w:hint="eastAsia" w:cs="宋体" w:asciiTheme="minorEastAsia" w:hAnsiTheme="minorEastAsia"/>
          <w:color w:val="000000"/>
          <w:kern w:val="0"/>
          <w:sz w:val="24"/>
          <w:szCs w:val="24"/>
        </w:rPr>
        <w:t>者</w:t>
      </w:r>
      <w:r>
        <w:rPr>
          <w:rFonts w:hint="eastAsia" w:asciiTheme="minorEastAsia" w:hAnsiTheme="minorEastAsia"/>
          <w:color w:val="000000"/>
          <w:sz w:val="24"/>
          <w:szCs w:val="24"/>
        </w:rPr>
        <w:t>。</w:t>
      </w:r>
    </w:p>
    <w:p>
      <w:pPr>
        <w:widowControl/>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（五）因违反内江师范学院相关规定，中途停止</w:t>
      </w:r>
      <w:r>
        <w:rPr>
          <w:rFonts w:hint="eastAsia" w:asciiTheme="minorEastAsia" w:hAnsiTheme="minorEastAsia"/>
          <w:iCs/>
          <w:color w:val="000000"/>
          <w:sz w:val="24"/>
          <w:szCs w:val="24"/>
        </w:rPr>
        <w:t>实践</w:t>
      </w:r>
      <w:r>
        <w:rPr>
          <w:rFonts w:hint="eastAsia" w:cs="宋体" w:asciiTheme="minorEastAsia" w:hAnsiTheme="minorEastAsia"/>
          <w:color w:val="000000"/>
          <w:kern w:val="0"/>
          <w:sz w:val="24"/>
          <w:szCs w:val="24"/>
        </w:rPr>
        <w:t>者</w:t>
      </w:r>
      <w:r>
        <w:rPr>
          <w:rFonts w:hint="eastAsia" w:asciiTheme="minorEastAsia" w:hAnsiTheme="minorEastAsia"/>
          <w:color w:val="000000"/>
          <w:sz w:val="24"/>
          <w:szCs w:val="24"/>
        </w:rPr>
        <w:t>。</w:t>
      </w:r>
    </w:p>
    <w:p>
      <w:pPr>
        <w:widowControl/>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（六）其它违反国家与学校有关规定的行为者。</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第八章 实践工作总结</w:t>
      </w:r>
    </w:p>
    <w:p>
      <w:pPr>
        <w:widowControl/>
        <w:shd w:val="clear" w:color="auto" w:fill="FFFFFF"/>
        <w:adjustRightInd w:val="0"/>
        <w:snapToGrid w:val="0"/>
        <w:spacing w:line="360" w:lineRule="auto"/>
        <w:ind w:right="-197" w:rightChars="-94"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第十八条 </w:t>
      </w:r>
      <w:r>
        <w:rPr>
          <w:rFonts w:hint="eastAsia" w:cs="宋体" w:asciiTheme="minorEastAsia" w:hAnsiTheme="minorEastAsia"/>
          <w:color w:val="000000"/>
          <w:kern w:val="0"/>
          <w:sz w:val="24"/>
          <w:szCs w:val="24"/>
        </w:rPr>
        <w:t>实践结束时，带队教师应及时向二级学院汇报专业实践开展情况，并认真做好总结工作。学生返校后一周内二级学院将实践工作总结报送教务处。</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第九章 经费保障</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第十九条 </w:t>
      </w:r>
      <w:r>
        <w:rPr>
          <w:rFonts w:hint="eastAsia" w:cs="宋体" w:asciiTheme="minorEastAsia" w:hAnsiTheme="minorEastAsia"/>
          <w:color w:val="000000"/>
          <w:kern w:val="0"/>
          <w:sz w:val="24"/>
          <w:szCs w:val="24"/>
        </w:rPr>
        <w:t>指导教师的酬金由二级学院支付，差旅费由学校报销。指导教师带队外出实践的工作量，每人每天不得低于3个教分；指导教师在校内指导实践的工作量，在培养方案规定的课时内以实际实施的课时为计算依据。指导教师指导实践应纳入教师教学工作量考核。</w:t>
      </w:r>
    </w:p>
    <w:p>
      <w:pPr>
        <w:widowControl/>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第二十条 </w:t>
      </w:r>
      <w:r>
        <w:rPr>
          <w:rFonts w:hint="eastAsia" w:cs="宋体" w:asciiTheme="minorEastAsia" w:hAnsiTheme="minorEastAsia"/>
          <w:color w:val="000000"/>
          <w:kern w:val="0"/>
          <w:sz w:val="24"/>
          <w:szCs w:val="24"/>
        </w:rPr>
        <w:t>学生外出实践的交通及住宿补助和实践单位指导教师的经费标准参照学校相关标准执行。</w:t>
      </w:r>
    </w:p>
    <w:p>
      <w:pPr>
        <w:pStyle w:val="2"/>
        <w:adjustRightInd w:val="0"/>
        <w:snapToGrid w:val="0"/>
        <w:ind w:firstLine="482"/>
        <w:jc w:val="center"/>
        <w:rPr>
          <w:rFonts w:cs="宋体" w:asciiTheme="minorEastAsia" w:hAnsiTheme="minorEastAsia"/>
          <w:b w:val="0"/>
          <w:color w:val="000000"/>
          <w:kern w:val="0"/>
          <w:sz w:val="24"/>
          <w:szCs w:val="24"/>
        </w:rPr>
      </w:pPr>
      <w:r>
        <w:rPr>
          <w:rFonts w:hint="eastAsia" w:cs="宋体" w:asciiTheme="minorEastAsia" w:hAnsiTheme="minorEastAsia"/>
          <w:color w:val="000000"/>
          <w:kern w:val="0"/>
          <w:sz w:val="24"/>
          <w:szCs w:val="24"/>
        </w:rPr>
        <w:t>第十章 附则</w:t>
      </w:r>
    </w:p>
    <w:p>
      <w:pPr>
        <w:widowControl/>
        <w:shd w:val="clear" w:color="auto" w:fill="FFFFFF"/>
        <w:adjustRightInd w:val="0"/>
        <w:snapToGrid w:val="0"/>
        <w:spacing w:line="360" w:lineRule="auto"/>
        <w:ind w:firstLine="482" w:firstLineChars="200"/>
        <w:rPr>
          <w:rFonts w:cs="宋体" w:asciiTheme="minorEastAsia" w:hAnsiTheme="minorEastAsia"/>
          <w:color w:val="000000"/>
          <w:kern w:val="0"/>
          <w:sz w:val="24"/>
          <w:szCs w:val="24"/>
        </w:rPr>
      </w:pPr>
      <w:r>
        <w:rPr>
          <w:rFonts w:hint="eastAsia" w:cs="宋体" w:asciiTheme="minorEastAsia" w:hAnsiTheme="minorEastAsia"/>
          <w:b/>
          <w:color w:val="000000"/>
          <w:kern w:val="0"/>
          <w:sz w:val="24"/>
          <w:szCs w:val="24"/>
        </w:rPr>
        <w:t xml:space="preserve">第二十一条 </w:t>
      </w:r>
      <w:r>
        <w:rPr>
          <w:rFonts w:hint="eastAsia" w:cs="宋体" w:asciiTheme="minorEastAsia" w:hAnsiTheme="minorEastAsia"/>
          <w:kern w:val="0"/>
          <w:sz w:val="24"/>
          <w:szCs w:val="24"/>
        </w:rPr>
        <w:t>本办法自发文之日起执行</w:t>
      </w:r>
      <w:r>
        <w:rPr>
          <w:rFonts w:hint="eastAsia" w:asciiTheme="minorEastAsia" w:hAnsiTheme="minorEastAsia"/>
          <w:sz w:val="24"/>
          <w:szCs w:val="24"/>
        </w:rPr>
        <w:t>，原《内江师范学院专业实习管理条例》同时废止</w:t>
      </w:r>
      <w:r>
        <w:rPr>
          <w:rFonts w:hint="eastAsia" w:cs="宋体" w:asciiTheme="minorEastAsia" w:hAnsiTheme="minorEastAsia"/>
          <w:kern w:val="0"/>
          <w:sz w:val="24"/>
          <w:szCs w:val="24"/>
        </w:rPr>
        <w:t>，由教务处负责解释</w:t>
      </w:r>
      <w:r>
        <w:rPr>
          <w:rFonts w:hint="eastAsia" w:asciiTheme="minorEastAsia" w:hAnsiTheme="minorEastAsia"/>
          <w:sz w:val="24"/>
          <w:szCs w:val="24"/>
        </w:rPr>
        <w:t>。</w:t>
      </w:r>
    </w:p>
    <w:p>
      <w:pPr>
        <w:widowControl/>
        <w:shd w:val="clear" w:color="auto" w:fill="FFFFFF"/>
        <w:adjustRightInd w:val="0"/>
        <w:snapToGrid w:val="0"/>
        <w:spacing w:line="360" w:lineRule="auto"/>
        <w:ind w:firstLine="480" w:firstLineChars="200"/>
        <w:jc w:val="right"/>
        <w:rPr>
          <w:rFonts w:cs="宋体" w:asciiTheme="minorEastAsia" w:hAnsiTheme="minorEastAsia"/>
          <w:color w:val="000000"/>
          <w:kern w:val="0"/>
          <w:sz w:val="24"/>
          <w:szCs w:val="24"/>
        </w:rPr>
      </w:pPr>
    </w:p>
    <w:p>
      <w:pPr>
        <w:widowControl/>
        <w:shd w:val="clear" w:color="auto" w:fill="FFFFFF"/>
        <w:adjustRightInd w:val="0"/>
        <w:snapToGrid w:val="0"/>
        <w:spacing w:line="360" w:lineRule="auto"/>
        <w:ind w:firstLine="480" w:firstLineChars="200"/>
        <w:jc w:val="right"/>
        <w:rPr>
          <w:rFonts w:ascii="仿宋_GB2312" w:hAnsi="仿宋" w:eastAsia="仿宋_GB2312" w:cs="宋体"/>
          <w:color w:val="000000"/>
          <w:kern w:val="0"/>
          <w:sz w:val="28"/>
          <w:szCs w:val="28"/>
        </w:rPr>
      </w:pPr>
      <w:r>
        <w:rPr>
          <w:rFonts w:hint="eastAsia" w:cs="宋体" w:asciiTheme="minorEastAsia" w:hAnsiTheme="minorEastAsia"/>
          <w:color w:val="000000"/>
          <w:kern w:val="0"/>
          <w:sz w:val="24"/>
          <w:szCs w:val="24"/>
        </w:rPr>
        <w:t>2018年5月18日</w:t>
      </w: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adjustRightInd w:val="0"/>
        <w:snapToGrid w:val="0"/>
        <w:spacing w:line="560" w:lineRule="exact"/>
        <w:ind w:firstLine="643" w:firstLineChars="200"/>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内江师范学院教师教育专业学生实习支教工作管理办法</w:t>
      </w:r>
    </w:p>
    <w:p>
      <w:pPr>
        <w:widowControl/>
        <w:shd w:val="clear" w:color="auto" w:fill="FFFFFF"/>
        <w:adjustRightInd w:val="0"/>
        <w:snapToGrid w:val="0"/>
        <w:spacing w:line="560" w:lineRule="exact"/>
        <w:ind w:firstLine="562" w:firstLineChars="200"/>
        <w:jc w:val="center"/>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内师院发〔2017〕89号</w:t>
      </w:r>
    </w:p>
    <w:p>
      <w:pPr>
        <w:widowControl/>
        <w:shd w:val="clear" w:color="auto" w:fill="FFFFFF"/>
        <w:adjustRightInd w:val="0"/>
        <w:snapToGrid w:val="0"/>
        <w:spacing w:line="560" w:lineRule="exact"/>
        <w:ind w:firstLine="643" w:firstLineChars="200"/>
        <w:jc w:val="center"/>
        <w:rPr>
          <w:rFonts w:cs="宋体" w:asciiTheme="minorEastAsia" w:hAnsiTheme="minorEastAsia"/>
          <w:b/>
          <w:color w:val="000000"/>
          <w:kern w:val="0"/>
          <w:sz w:val="32"/>
          <w:szCs w:val="32"/>
        </w:rPr>
      </w:pP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为深入贯彻《教育部关于大力推进师范生实习支教工作的意见》（教师〔2007〕4号）和《教育部关于大力推进城镇教师支援农村教育工作的意见》（教人〔2006〕2号）精神，建立校地共同培养机制，增强实习支教实效性，特制定本办法。</w:t>
      </w:r>
    </w:p>
    <w:p>
      <w:pPr>
        <w:widowControl/>
        <w:shd w:val="clear" w:color="auto" w:fill="FFFFFF"/>
        <w:adjustRightInd w:val="0"/>
        <w:snapToGrid w:val="0"/>
        <w:spacing w:line="360" w:lineRule="auto"/>
        <w:jc w:val="center"/>
        <w:rPr>
          <w:rFonts w:cs="宋体" w:asciiTheme="minorEastAsia" w:hAnsiTheme="minorEastAsia"/>
          <w:b/>
          <w:color w:val="000000"/>
          <w:kern w:val="0"/>
          <w:sz w:val="24"/>
          <w:szCs w:val="24"/>
        </w:rPr>
      </w:pPr>
      <w:r>
        <w:rPr>
          <w:rFonts w:hint="eastAsia" w:cs="宋体" w:asciiTheme="minorEastAsia" w:hAnsiTheme="minorEastAsia"/>
          <w:b/>
          <w:bCs/>
          <w:color w:val="000000"/>
          <w:kern w:val="0"/>
          <w:sz w:val="24"/>
          <w:szCs w:val="24"/>
        </w:rPr>
        <w:t>第一章  总则</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第一条 开展师范生实习支教，是校地共同培养师范生的重要途径，是提高师范生教学能力的重要方式，是改革师范生培养模式的重要举措，对于推进教师职前职后一体化建设、支持农村教育发展、全面加强教师队伍建设具有重要意义。</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第二条 本办法所指实习支教，是指在校教师教育专业学生到普通中小学校（幼儿园）开展教育实践活动，实习支教时间原则上为一个学期。</w:t>
      </w:r>
    </w:p>
    <w:p>
      <w:pPr>
        <w:widowControl/>
        <w:shd w:val="clear" w:color="auto" w:fill="FFFFFF"/>
        <w:adjustRightInd w:val="0"/>
        <w:snapToGrid w:val="0"/>
        <w:spacing w:line="360" w:lineRule="auto"/>
        <w:jc w:val="center"/>
        <w:rPr>
          <w:rFonts w:cs="宋体" w:asciiTheme="minorEastAsia" w:hAnsiTheme="minorEastAsia"/>
          <w:b/>
          <w:color w:val="000000"/>
          <w:kern w:val="0"/>
          <w:sz w:val="24"/>
          <w:szCs w:val="24"/>
        </w:rPr>
      </w:pPr>
      <w:r>
        <w:rPr>
          <w:rFonts w:hint="eastAsia" w:cs="宋体" w:asciiTheme="minorEastAsia" w:hAnsiTheme="minorEastAsia"/>
          <w:b/>
          <w:bCs/>
          <w:color w:val="000000"/>
          <w:kern w:val="0"/>
          <w:sz w:val="24"/>
          <w:szCs w:val="24"/>
        </w:rPr>
        <w:t>第二章  组织领导</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第三条 实习支教工作在学校党委和行政统一领导下进行。由学校分管教学校领导牵头，教务处、组织部、宣传部、学生工作处（部）、团委、招生就业处等有关部门负责人组成我校实习支教工作领导小组，负责全校实习支教工作。领导小组下设实习支教工作办公室，负责处理实习支教工作的日常事务。办公室设在教务处。</w:t>
      </w:r>
    </w:p>
    <w:p>
      <w:pPr>
        <w:widowControl/>
        <w:shd w:val="clear" w:color="auto" w:fill="FFFFFF"/>
        <w:adjustRightInd w:val="0"/>
        <w:snapToGrid w:val="0"/>
        <w:spacing w:line="360" w:lineRule="auto"/>
        <w:jc w:val="center"/>
        <w:rPr>
          <w:rFonts w:cs="宋体" w:asciiTheme="minorEastAsia" w:hAnsiTheme="minorEastAsia"/>
          <w:b/>
          <w:color w:val="000000"/>
          <w:kern w:val="0"/>
          <w:sz w:val="24"/>
          <w:szCs w:val="24"/>
        </w:rPr>
      </w:pPr>
      <w:r>
        <w:rPr>
          <w:rFonts w:hint="eastAsia" w:cs="宋体" w:asciiTheme="minorEastAsia" w:hAnsiTheme="minorEastAsia"/>
          <w:b/>
          <w:bCs/>
          <w:color w:val="000000"/>
          <w:kern w:val="0"/>
          <w:sz w:val="24"/>
          <w:szCs w:val="24"/>
        </w:rPr>
        <w:t>第三章  内容及要求</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第四条 实习支教内容为教学实习和班主任工作实习</w:t>
      </w:r>
      <w:r>
        <w:rPr>
          <w:rFonts w:hint="eastAsia" w:cs="宋体" w:asciiTheme="minorEastAsia" w:hAnsiTheme="minorEastAsia"/>
          <w:kern w:val="0"/>
          <w:sz w:val="24"/>
          <w:szCs w:val="24"/>
        </w:rPr>
        <w:t>。</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第五条 教学实习。每位实习支教学生须完成不少于实习学校1个自然班一个学期相应课程的教学工作量以及相关的教学工作任务，包括教学设计、备课、编写教案、课堂教学、指导实验、课后辅导、作业批改与讲评、考试与成绩评定、组织课外学习活动等环节。支教学生在实习支教结束后必须提供完整的一学期备课教案。</w:t>
      </w:r>
    </w:p>
    <w:p>
      <w:pPr>
        <w:widowControl/>
        <w:shd w:val="clear" w:color="auto" w:fill="FFFFFF"/>
        <w:adjustRightInd w:val="0"/>
        <w:snapToGrid w:val="0"/>
        <w:spacing w:line="360" w:lineRule="auto"/>
        <w:ind w:firstLine="480" w:firstLineChars="200"/>
        <w:rPr>
          <w:rFonts w:cs="宋体" w:asciiTheme="minorEastAsia" w:hAnsiTheme="minorEastAsia"/>
          <w:b/>
          <w:color w:val="000000"/>
          <w:kern w:val="0"/>
          <w:sz w:val="24"/>
          <w:szCs w:val="24"/>
        </w:rPr>
      </w:pPr>
      <w:r>
        <w:rPr>
          <w:rFonts w:hint="eastAsia" w:cs="宋体" w:asciiTheme="minorEastAsia" w:hAnsiTheme="minorEastAsia"/>
          <w:color w:val="000000"/>
          <w:kern w:val="0"/>
          <w:sz w:val="24"/>
          <w:szCs w:val="24"/>
        </w:rPr>
        <w:t>第六条 班主任工作实习。实习支教学生在原任班主任指导下，学习掌握班主任工作的基本内容、特点，包括了解班级情况、制定班主任工作计划、对学生进行思想品德教育、开展日常班级管理、组织主题班会等活动。支教学生在实习支教结束后必须提供班主任实习手册，并完整记录实习期间所开展工作的有关内容。</w:t>
      </w:r>
    </w:p>
    <w:p>
      <w:pPr>
        <w:widowControl/>
        <w:shd w:val="clear" w:color="auto" w:fill="FFFFFF"/>
        <w:adjustRightInd w:val="0"/>
        <w:snapToGrid w:val="0"/>
        <w:spacing w:line="360" w:lineRule="auto"/>
        <w:ind w:firstLine="482" w:firstLineChars="20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第四章  学分认定与评优</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第七条 实习支教成绩根据学生在实习期间的综合表现由实习学校评定，优秀学生在入党、年度评优和各类奖学金评定时，同等条件优先。学校就业部门在该生就业时应给予优先推荐。</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第八条 实习支教学生成绩合格，可获得12学分（其中9学分为教育实习课程学分，3学分可用于充抵教育实践类课程或专业选修课程学分），另外根据学校相关文件认定相应的第二课堂素质活动和德育学分。</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第九条 对按计划完成实习支教的学生，由学校出具实习支教证明，存入学生个人档案。</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Times New Roman" w:asciiTheme="minorEastAsia" w:hAnsiTheme="minorEastAsia"/>
          <w:color w:val="000000"/>
          <w:sz w:val="24"/>
          <w:szCs w:val="24"/>
        </w:rPr>
        <w:t>第十条 实习支教期限为一学期，对不适合或不能按期完成支教任务的学生，可由学校实习支教办公室责令其返校。如在实习期间发生违纪违法行为，按照学校有关规定给予处理或移交有关部门处理。对未按计划完成支教实习工作的学生，如时间未满12周，其教育实习成绩记为不及格，不能获得教育实习学分；满12周但未完成支教实习时间，学校根据其在实习期间工作表现，可以按正常教育实习给予教育实习成绩，视做完成普通教育实习，但不再享受其他优惠政策。</w:t>
      </w:r>
    </w:p>
    <w:p>
      <w:pPr>
        <w:widowControl/>
        <w:shd w:val="clear" w:color="auto" w:fill="FFFFFF"/>
        <w:adjustRightInd w:val="0"/>
        <w:snapToGrid w:val="0"/>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第五章  经费</w:t>
      </w:r>
    </w:p>
    <w:p>
      <w:pPr>
        <w:widowControl/>
        <w:shd w:val="clear" w:color="auto" w:fill="FFFFFF"/>
        <w:adjustRightInd w:val="0"/>
        <w:snapToGrid w:val="0"/>
        <w:spacing w:line="360" w:lineRule="auto"/>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第十一条 学校对在偏远贫困地区参加实习支教的学生每月给予适当的生活补助。</w:t>
      </w:r>
    </w:p>
    <w:p>
      <w:pPr>
        <w:widowControl/>
        <w:shd w:val="clear" w:color="auto" w:fill="FFFFFF"/>
        <w:adjustRightInd w:val="0"/>
        <w:snapToGrid w:val="0"/>
        <w:spacing w:line="360" w:lineRule="auto"/>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第十二条 对实习支教的学生，因回校参加学校统一安排的考试或教学活动，可凭有效票据报销学校与支教学校之间基本交通费（不含租车、打的费用）。</w:t>
      </w:r>
    </w:p>
    <w:p>
      <w:pPr>
        <w:widowControl/>
        <w:shd w:val="clear" w:color="auto" w:fill="FFFFFF"/>
        <w:adjustRightInd w:val="0"/>
        <w:snapToGrid w:val="0"/>
        <w:spacing w:line="360" w:lineRule="auto"/>
        <w:jc w:val="center"/>
        <w:rPr>
          <w:rFonts w:cs="宋体" w:asciiTheme="minorEastAsia" w:hAnsiTheme="minorEastAsia"/>
          <w:b/>
          <w:color w:val="000000"/>
          <w:kern w:val="0"/>
          <w:sz w:val="24"/>
          <w:szCs w:val="24"/>
        </w:rPr>
      </w:pPr>
      <w:r>
        <w:rPr>
          <w:rFonts w:hint="eastAsia" w:cs="宋体" w:asciiTheme="minorEastAsia" w:hAnsiTheme="minorEastAsia"/>
          <w:b/>
          <w:bCs/>
          <w:color w:val="000000"/>
          <w:kern w:val="0"/>
          <w:sz w:val="24"/>
          <w:szCs w:val="24"/>
        </w:rPr>
        <w:t>第六章  纪律要求</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第十三条 在实习支教期间，参加实习支教的学生要严格遵守支教学校的规章制度，如有特殊情况必须请假时，须经支教学校批准，三天以内由支教学校批准，三天以上须经我校教务处批准，并通知支教学生所在二级学院联系人。请病假者要有县级以上医院证明。不能继续参加实习支教的学生，应返校参加学校正常的教学活动。</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第十四条 在实习支教期间，参加实习支教的学生应虚心向支教所在学校教师学习，主动争取他们的指导和帮助，努力完成各级领导布置的工作任务。</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第十五条 参加实习支教的学生在生活上要艰苦朴素，作风上要谦虚谨慎；言行举止要文明，衣着整洁、庄重，穿着打扮与发型要符合教师身份；要讲究卫生，遵守社会公德，处处做学生表率；在听取意见时要有耐心和礼貌，不强词夺理，不无理取闹。</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第十六条 参加实习支教的学生要注意饮食卫生和气候变化，保证身体健康，精力充沛，特别注意安全，防止交通事故和煤气中毒等。实习支教学生未经支教学校领导批准，不得擅自离开支教学校。如因个人原因发生事故或造成损失，责任一律自负。</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第十七条 参加实习支教的学生要自觉维护我校与支教学校及当地各级组织的关系，如发生有损于两方关系的言论和行动，要进行严肃处理，情节严重者，要提前结束实习。</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第十八条 参加实习支教的学生须严格遵守支教学校教学纪律，完成教学任务，不得有违背党的路线、方针、政策的言行。未经支教学校同意，不准组织学生参加与学习无关的活功。不得与学生谈恋爱，不得接受学生赠礼，不得体罚学生。如有违反者，视情节轻重给予批评教育等纪律处分，直至提前结束实习。</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第十九条 参加实习支教的学生如违反实习支教纪律，支教学校教师有权进行批评教育。对拒不听从教育、态度恶劣者，支教学校有权停止其实习支教工作，责令其返校，并等候学校处理。</w:t>
      </w:r>
    </w:p>
    <w:p>
      <w:pPr>
        <w:widowControl/>
        <w:shd w:val="clear" w:color="auto" w:fill="FFFFFF"/>
        <w:adjustRightInd w:val="0"/>
        <w:snapToGrid w:val="0"/>
        <w:spacing w:line="360" w:lineRule="auto"/>
        <w:jc w:val="center"/>
        <w:rPr>
          <w:rFonts w:cs="宋体" w:asciiTheme="minorEastAsia" w:hAnsiTheme="minorEastAsia"/>
          <w:b/>
          <w:color w:val="000000"/>
          <w:kern w:val="0"/>
          <w:sz w:val="24"/>
          <w:szCs w:val="24"/>
        </w:rPr>
      </w:pPr>
      <w:r>
        <w:rPr>
          <w:rFonts w:hint="eastAsia" w:cs="宋体" w:asciiTheme="minorEastAsia" w:hAnsiTheme="minorEastAsia"/>
          <w:b/>
          <w:bCs/>
          <w:color w:val="000000"/>
          <w:kern w:val="0"/>
          <w:sz w:val="24"/>
          <w:szCs w:val="24"/>
        </w:rPr>
        <w:t>第七章  附则</w:t>
      </w:r>
    </w:p>
    <w:p>
      <w:pPr>
        <w:widowControl/>
        <w:shd w:val="clear" w:color="auto" w:fill="FFFFFF"/>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第二十条  本办法自发文之日起执行，解释权归教务处</w:t>
      </w:r>
      <w:r>
        <w:rPr>
          <w:rFonts w:hint="eastAsia" w:cs="Times New Roman" w:asciiTheme="minorEastAsia" w:hAnsiTheme="minorEastAsia"/>
          <w:sz w:val="24"/>
          <w:szCs w:val="24"/>
        </w:rPr>
        <w:t>。</w:t>
      </w: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2017年7月7日</w:t>
      </w:r>
    </w:p>
    <w:p>
      <w:pPr>
        <w:spacing w:line="360" w:lineRule="auto"/>
        <w:rPr>
          <w:rFonts w:asciiTheme="minorEastAsia" w:hAnsiTheme="minorEastAsia"/>
          <w:sz w:val="24"/>
          <w:szCs w:val="24"/>
        </w:rPr>
      </w:pPr>
      <w:r>
        <w:rPr>
          <w:rFonts w:asciiTheme="minorEastAsia" w:hAnsiTheme="minorEastAsia"/>
          <w:sz w:val="24"/>
          <w:szCs w:val="24"/>
        </w:rPr>
        <w:br w:type="page"/>
      </w:r>
    </w:p>
    <w:p>
      <w:pPr>
        <w:tabs>
          <w:tab w:val="left" w:pos="7655"/>
        </w:tabs>
        <w:spacing w:line="560" w:lineRule="exact"/>
        <w:jc w:val="center"/>
        <w:rPr>
          <w:rFonts w:ascii="宋体" w:hAnsi="宋体"/>
          <w:b/>
          <w:bCs/>
          <w:w w:val="80"/>
          <w:sz w:val="32"/>
          <w:szCs w:val="32"/>
        </w:rPr>
      </w:pPr>
      <w:r>
        <w:rPr>
          <w:rFonts w:hint="eastAsia" w:ascii="宋体" w:hAnsi="宋体"/>
          <w:b/>
          <w:bCs/>
          <w:w w:val="80"/>
          <w:sz w:val="32"/>
          <w:szCs w:val="32"/>
        </w:rPr>
        <w:t>内江师范学院实践教学经费管理办法（修订）</w:t>
      </w:r>
    </w:p>
    <w:p>
      <w:pPr>
        <w:tabs>
          <w:tab w:val="left" w:pos="7655"/>
        </w:tabs>
        <w:spacing w:line="560" w:lineRule="exact"/>
        <w:jc w:val="center"/>
        <w:rPr>
          <w:rFonts w:ascii="宋体" w:hAnsi="宋体"/>
          <w:b/>
          <w:bCs/>
          <w:w w:val="80"/>
          <w:sz w:val="28"/>
          <w:szCs w:val="28"/>
        </w:rPr>
      </w:pPr>
      <w:r>
        <w:rPr>
          <w:rFonts w:hint="eastAsia" w:ascii="宋体" w:hAnsi="宋体"/>
          <w:b/>
          <w:bCs/>
          <w:w w:val="80"/>
          <w:sz w:val="28"/>
          <w:szCs w:val="28"/>
        </w:rPr>
        <w:t>内师院发</w:t>
      </w:r>
      <w:r>
        <w:rPr>
          <w:rFonts w:hint="eastAsia" w:cs="宋体" w:asciiTheme="minorEastAsia" w:hAnsiTheme="minorEastAsia"/>
          <w:b/>
          <w:color w:val="000000"/>
          <w:kern w:val="0"/>
          <w:sz w:val="28"/>
          <w:szCs w:val="28"/>
        </w:rPr>
        <w:t>〔201</w:t>
      </w:r>
      <w:r>
        <w:rPr>
          <w:rFonts w:cs="宋体" w:asciiTheme="minorEastAsia" w:hAnsiTheme="minorEastAsia"/>
          <w:b/>
          <w:color w:val="000000"/>
          <w:kern w:val="0"/>
          <w:sz w:val="28"/>
          <w:szCs w:val="28"/>
        </w:rPr>
        <w:t>8</w:t>
      </w:r>
      <w:r>
        <w:rPr>
          <w:rFonts w:hint="eastAsia" w:cs="宋体" w:asciiTheme="minorEastAsia" w:hAnsiTheme="minorEastAsia"/>
          <w:b/>
          <w:color w:val="000000"/>
          <w:kern w:val="0"/>
          <w:sz w:val="28"/>
          <w:szCs w:val="28"/>
        </w:rPr>
        <w:t>〕</w:t>
      </w:r>
      <w:r>
        <w:rPr>
          <w:rFonts w:hint="eastAsia" w:ascii="宋体" w:hAnsi="宋体"/>
          <w:b/>
          <w:bCs/>
          <w:w w:val="80"/>
          <w:sz w:val="28"/>
          <w:szCs w:val="28"/>
        </w:rPr>
        <w:t>77号</w:t>
      </w:r>
    </w:p>
    <w:p>
      <w:pPr>
        <w:widowControl/>
        <w:adjustRightInd w:val="0"/>
        <w:snapToGrid w:val="0"/>
        <w:spacing w:line="560" w:lineRule="exact"/>
        <w:ind w:firstLine="480" w:firstLineChars="200"/>
        <w:rPr>
          <w:rFonts w:ascii="宋体" w:hAnsi="宋体"/>
          <w:sz w:val="24"/>
          <w:szCs w:val="24"/>
        </w:rPr>
      </w:pP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实践教学经费是大学生开展实践教学的重要保障，为合理使用经费，保证实践教学工作的顺利开展，促进我校实践教学质量的提高，根据学校财务管理有关规定，特制定本管理办法。</w:t>
      </w:r>
    </w:p>
    <w:p>
      <w:pPr>
        <w:widowControl/>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第一条 实践教学经费管理原则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实践教学经费是指由学校预算安排，专项用于培养方案中规定的见习、实习、实训、专业考察、艺术实践（采风、写生）等实践教学环节和学科竞赛等项目的经费。实践教学经费属专项经费，应坚持勤俭节约、专款专用的原则，任何单位和个人不得挤占、截留和挪用。</w:t>
      </w:r>
    </w:p>
    <w:p>
      <w:pPr>
        <w:widowControl/>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第二条 实践教学经费预算</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二级学院应于每年末根据人才培养方案编制下一年度实践教学经费预算，预算根据年度实践教学的内容、人数、地点及相关标准等内容编制，经教务处审核报学校批准后作为二级学院下一年度实践教学经费。</w:t>
      </w:r>
    </w:p>
    <w:p>
      <w:pPr>
        <w:widowControl/>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第三条 实践教学经费开支范围及标准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实践教学经费用于学校实习研讨会务费、基地建设费、校外指导教师指导费、实习单位管理费、教学必需的参观门票费、学生交通及住宿补助、学生外出实践教学期间保险费、校内指导教师差旅费；学科竞赛参赛费、指导(带队)教师及学生差旅费等。标准如下：</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（一）见（实）习（实训）经费标准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1．统一安排基地外出实践的经费标准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统一安排基地外出实践指人数相对集中，我校派驻指导教师的实践教学活动，经费范围包括实习指导费（含管理费、门票费、保险费）和交通及住宿补助。</w:t>
      </w:r>
    </w:p>
    <w:tbl>
      <w:tblPr>
        <w:tblStyle w:val="15"/>
        <w:tblW w:w="903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60"/>
        <w:gridCol w:w="74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6" w:hRule="atLeast"/>
          <w:jc w:val="center"/>
        </w:trPr>
        <w:tc>
          <w:tcPr>
            <w:tcW w:w="1560" w:type="dxa"/>
            <w:tcMar>
              <w:top w:w="0" w:type="dxa"/>
              <w:left w:w="108" w:type="dxa"/>
              <w:bottom w:w="0" w:type="dxa"/>
              <w:right w:w="108" w:type="dxa"/>
            </w:tcMar>
            <w:vAlign w:val="center"/>
          </w:tcPr>
          <w:p>
            <w:pPr>
              <w:widowControl/>
              <w:adjustRightInd w:val="0"/>
              <w:snapToGrid w:val="0"/>
              <w:spacing w:line="360" w:lineRule="auto"/>
              <w:jc w:val="center"/>
              <w:rPr>
                <w:rFonts w:ascii="宋体" w:hAnsi="宋体"/>
                <w:szCs w:val="21"/>
              </w:rPr>
            </w:pPr>
            <w:r>
              <w:rPr>
                <w:rFonts w:hint="eastAsia" w:ascii="宋体" w:hAnsi="宋体"/>
                <w:szCs w:val="21"/>
              </w:rPr>
              <w:t>项目</w:t>
            </w:r>
          </w:p>
        </w:tc>
        <w:tc>
          <w:tcPr>
            <w:tcW w:w="7477" w:type="dxa"/>
            <w:tcBorders>
              <w:right w:val="single" w:color="auto" w:sz="4" w:space="0"/>
            </w:tcBorders>
            <w:tcMar>
              <w:top w:w="0" w:type="dxa"/>
              <w:left w:w="108" w:type="dxa"/>
              <w:bottom w:w="0" w:type="dxa"/>
              <w:right w:w="108" w:type="dxa"/>
            </w:tcMar>
            <w:vAlign w:val="center"/>
          </w:tcPr>
          <w:p>
            <w:pPr>
              <w:widowControl/>
              <w:adjustRightInd w:val="0"/>
              <w:snapToGrid w:val="0"/>
              <w:spacing w:line="360" w:lineRule="auto"/>
              <w:jc w:val="center"/>
              <w:rPr>
                <w:rFonts w:ascii="宋体" w:hAnsi="宋体"/>
                <w:szCs w:val="21"/>
              </w:rPr>
            </w:pPr>
            <w:r>
              <w:rPr>
                <w:rFonts w:hint="eastAsia" w:ascii="宋体" w:hAnsi="宋体"/>
                <w:szCs w:val="21"/>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7" w:hRule="atLeast"/>
          <w:jc w:val="center"/>
        </w:trPr>
        <w:tc>
          <w:tcPr>
            <w:tcW w:w="1560" w:type="dxa"/>
            <w:tcMar>
              <w:top w:w="0" w:type="dxa"/>
              <w:left w:w="108" w:type="dxa"/>
              <w:bottom w:w="0" w:type="dxa"/>
              <w:right w:w="108" w:type="dxa"/>
            </w:tcMar>
            <w:vAlign w:val="center"/>
          </w:tcPr>
          <w:p>
            <w:pPr>
              <w:widowControl/>
              <w:adjustRightInd w:val="0"/>
              <w:snapToGrid w:val="0"/>
              <w:spacing w:line="360" w:lineRule="auto"/>
              <w:jc w:val="center"/>
              <w:rPr>
                <w:rFonts w:ascii="宋体" w:hAnsi="宋体"/>
                <w:szCs w:val="21"/>
              </w:rPr>
            </w:pPr>
            <w:r>
              <w:rPr>
                <w:rFonts w:hint="eastAsia" w:ascii="宋体" w:hAnsi="宋体"/>
                <w:szCs w:val="21"/>
              </w:rPr>
              <w:t>指导费（含管理费、门票费、保险费）</w:t>
            </w:r>
          </w:p>
        </w:tc>
        <w:tc>
          <w:tcPr>
            <w:tcW w:w="7477" w:type="dxa"/>
            <w:tcBorders>
              <w:right w:val="single" w:color="auto" w:sz="4" w:space="0"/>
            </w:tcBorders>
            <w:tcMar>
              <w:top w:w="0" w:type="dxa"/>
              <w:left w:w="108" w:type="dxa"/>
              <w:bottom w:w="0" w:type="dxa"/>
              <w:right w:w="108" w:type="dxa"/>
            </w:tcMar>
            <w:vAlign w:val="center"/>
          </w:tcPr>
          <w:p>
            <w:pPr>
              <w:widowControl/>
              <w:adjustRightInd w:val="0"/>
              <w:snapToGrid w:val="0"/>
              <w:spacing w:line="360" w:lineRule="auto"/>
              <w:rPr>
                <w:rFonts w:ascii="宋体" w:hAnsi="宋体"/>
                <w:szCs w:val="21"/>
              </w:rPr>
            </w:pPr>
            <w:r>
              <w:rPr>
                <w:rFonts w:hint="eastAsia" w:ascii="宋体" w:hAnsi="宋体"/>
                <w:szCs w:val="21"/>
              </w:rPr>
              <w:t>1. 课程见习：每生每门课程限额20元；</w:t>
            </w:r>
          </w:p>
          <w:p>
            <w:pPr>
              <w:widowControl/>
              <w:adjustRightInd w:val="0"/>
              <w:snapToGrid w:val="0"/>
              <w:spacing w:line="360" w:lineRule="auto"/>
              <w:rPr>
                <w:rFonts w:ascii="宋体" w:hAnsi="宋体"/>
                <w:szCs w:val="21"/>
              </w:rPr>
            </w:pPr>
            <w:r>
              <w:rPr>
                <w:rFonts w:hint="eastAsia" w:ascii="宋体" w:hAnsi="宋体"/>
                <w:szCs w:val="21"/>
              </w:rPr>
              <w:t>2. 教育见习：校外开展的每生每周30元；</w:t>
            </w:r>
          </w:p>
          <w:p>
            <w:pPr>
              <w:widowControl/>
              <w:adjustRightInd w:val="0"/>
              <w:snapToGrid w:val="0"/>
              <w:spacing w:line="360" w:lineRule="auto"/>
              <w:rPr>
                <w:rFonts w:ascii="宋体" w:hAnsi="宋体"/>
                <w:szCs w:val="21"/>
              </w:rPr>
            </w:pPr>
            <w:r>
              <w:rPr>
                <w:rFonts w:hint="eastAsia" w:ascii="宋体" w:hAnsi="宋体"/>
                <w:szCs w:val="21"/>
              </w:rPr>
              <w:t>3. 专业见习、实习、实训：三周以下的每生每周100元，</w:t>
            </w:r>
          </w:p>
          <w:p>
            <w:pPr>
              <w:widowControl/>
              <w:adjustRightInd w:val="0"/>
              <w:snapToGrid w:val="0"/>
              <w:spacing w:line="360" w:lineRule="auto"/>
              <w:ind w:firstLine="315" w:firstLineChars="150"/>
              <w:rPr>
                <w:rFonts w:ascii="宋体" w:hAnsi="宋体"/>
                <w:szCs w:val="21"/>
              </w:rPr>
            </w:pPr>
            <w:r>
              <w:rPr>
                <w:rFonts w:hint="eastAsia" w:ascii="宋体" w:hAnsi="宋体"/>
                <w:szCs w:val="21"/>
              </w:rPr>
              <w:t>三周及以上的每生300元；因专业特殊性需要到景区见、</w:t>
            </w:r>
          </w:p>
          <w:p>
            <w:pPr>
              <w:widowControl/>
              <w:adjustRightInd w:val="0"/>
              <w:snapToGrid w:val="0"/>
              <w:spacing w:line="360" w:lineRule="auto"/>
              <w:ind w:firstLine="315" w:firstLineChars="150"/>
              <w:rPr>
                <w:rFonts w:ascii="宋体" w:hAnsi="宋体"/>
                <w:szCs w:val="21"/>
              </w:rPr>
            </w:pPr>
            <w:r>
              <w:rPr>
                <w:rFonts w:hint="eastAsia" w:ascii="宋体" w:hAnsi="宋体"/>
                <w:szCs w:val="21"/>
              </w:rPr>
              <w:t>实习的门票费（含指导费）每生200元限额凭票报销，</w:t>
            </w:r>
          </w:p>
          <w:p>
            <w:pPr>
              <w:widowControl/>
              <w:adjustRightInd w:val="0"/>
              <w:snapToGrid w:val="0"/>
              <w:spacing w:line="360" w:lineRule="auto"/>
              <w:ind w:firstLine="315" w:firstLineChars="150"/>
              <w:rPr>
                <w:rFonts w:ascii="宋体" w:hAnsi="宋体"/>
                <w:szCs w:val="21"/>
              </w:rPr>
            </w:pPr>
            <w:r>
              <w:rPr>
                <w:rFonts w:hint="eastAsia" w:ascii="宋体" w:hAnsi="宋体"/>
                <w:szCs w:val="21"/>
              </w:rPr>
              <w:t>地理、旅游管理专业每生300元限额凭票报销；</w:t>
            </w:r>
          </w:p>
          <w:p>
            <w:pPr>
              <w:widowControl/>
              <w:adjustRightInd w:val="0"/>
              <w:snapToGrid w:val="0"/>
              <w:spacing w:line="360" w:lineRule="auto"/>
              <w:rPr>
                <w:rFonts w:ascii="宋体" w:hAnsi="宋体"/>
                <w:szCs w:val="21"/>
              </w:rPr>
            </w:pPr>
            <w:r>
              <w:rPr>
                <w:rFonts w:hint="eastAsia" w:ascii="宋体" w:hAnsi="宋体"/>
                <w:szCs w:val="21"/>
              </w:rPr>
              <w:t>4. 教育实习：每生500元。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778" w:hRule="atLeast"/>
          <w:jc w:val="center"/>
        </w:trPr>
        <w:tc>
          <w:tcPr>
            <w:tcW w:w="1560" w:type="dxa"/>
            <w:tcMar>
              <w:top w:w="0" w:type="dxa"/>
              <w:left w:w="108" w:type="dxa"/>
              <w:bottom w:w="0" w:type="dxa"/>
              <w:right w:w="108" w:type="dxa"/>
            </w:tcMar>
            <w:vAlign w:val="center"/>
          </w:tcPr>
          <w:p>
            <w:pPr>
              <w:adjustRightInd w:val="0"/>
              <w:snapToGrid w:val="0"/>
              <w:spacing w:line="360" w:lineRule="auto"/>
              <w:jc w:val="center"/>
              <w:rPr>
                <w:rFonts w:ascii="宋体" w:hAnsi="宋体"/>
                <w:szCs w:val="21"/>
              </w:rPr>
            </w:pPr>
            <w:r>
              <w:rPr>
                <w:rFonts w:hint="eastAsia" w:ascii="宋体" w:hAnsi="宋体"/>
                <w:szCs w:val="21"/>
              </w:rPr>
              <w:t>交通及住宿补助</w:t>
            </w:r>
          </w:p>
        </w:tc>
        <w:tc>
          <w:tcPr>
            <w:tcW w:w="7477" w:type="dxa"/>
            <w:tcBorders>
              <w:right w:val="single" w:color="auto" w:sz="4" w:space="0"/>
            </w:tcBorders>
            <w:tcMar>
              <w:top w:w="0" w:type="dxa"/>
              <w:left w:w="108" w:type="dxa"/>
              <w:bottom w:w="0" w:type="dxa"/>
              <w:right w:w="108" w:type="dxa"/>
            </w:tcMar>
            <w:vAlign w:val="center"/>
          </w:tcPr>
          <w:p>
            <w:pPr>
              <w:widowControl/>
              <w:shd w:val="clear" w:color="auto" w:fill="FFFFFF"/>
              <w:adjustRightInd w:val="0"/>
              <w:snapToGrid w:val="0"/>
              <w:spacing w:line="360" w:lineRule="auto"/>
              <w:rPr>
                <w:rFonts w:ascii="宋体" w:hAnsi="宋体"/>
                <w:szCs w:val="21"/>
              </w:rPr>
            </w:pPr>
            <w:r>
              <w:rPr>
                <w:rFonts w:hint="eastAsia" w:ascii="宋体" w:hAnsi="宋体"/>
                <w:szCs w:val="21"/>
              </w:rPr>
              <w:t>1. 市内：城区不报销住宿费用；中心城区(不包含</w:t>
            </w:r>
            <w:r>
              <w:rPr>
                <w:rFonts w:hint="eastAsia" w:ascii="宋体" w:hAnsi="宋体" w:cs="宋体"/>
                <w:szCs w:val="21"/>
              </w:rPr>
              <w:t>椑</w:t>
            </w:r>
            <w:r>
              <w:rPr>
                <w:rFonts w:hint="eastAsia" w:ascii="宋体" w:hAnsi="宋体" w:cs="方正仿宋简体"/>
                <w:szCs w:val="21"/>
              </w:rPr>
              <w:t>木、白</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马)交通补助每生每天不超过8元；周边城区(</w:t>
            </w:r>
            <w:r>
              <w:rPr>
                <w:rFonts w:hint="eastAsia" w:ascii="宋体" w:hAnsi="宋体" w:cs="宋体"/>
                <w:szCs w:val="21"/>
              </w:rPr>
              <w:t>椑</w:t>
            </w:r>
            <w:r>
              <w:rPr>
                <w:rFonts w:hint="eastAsia" w:ascii="宋体" w:hAnsi="宋体" w:cs="方正仿宋简体"/>
                <w:szCs w:val="21"/>
              </w:rPr>
              <w:t>木、白马</w:t>
            </w:r>
            <w:r>
              <w:rPr>
                <w:rFonts w:hint="eastAsia" w:ascii="宋体" w:hAnsi="宋体"/>
                <w:szCs w:val="21"/>
              </w:rPr>
              <w:t>)</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交通补助每生每天不超过20元；城区交通补助总额不超</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过200元。市属各县每生每周100元，补助总额不超过</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300元，其它在限额标准内凭票报销；</w:t>
            </w:r>
          </w:p>
          <w:p>
            <w:pPr>
              <w:widowControl/>
              <w:shd w:val="clear" w:color="auto" w:fill="FFFFFF"/>
              <w:adjustRightInd w:val="0"/>
              <w:snapToGrid w:val="0"/>
              <w:spacing w:line="360" w:lineRule="auto"/>
              <w:rPr>
                <w:rFonts w:ascii="宋体" w:hAnsi="宋体"/>
                <w:szCs w:val="21"/>
              </w:rPr>
            </w:pPr>
            <w:r>
              <w:rPr>
                <w:rFonts w:hint="eastAsia" w:ascii="宋体" w:hAnsi="宋体"/>
                <w:szCs w:val="21"/>
              </w:rPr>
              <w:t>2. 市外：省（含重庆）内，每生300元；因专业特殊性确</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实需要到省外进行实践教学的，每生400元；安排在多</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个地区开展的实践教学活动，交通及住宿补助参照某一</w:t>
            </w:r>
          </w:p>
          <w:p>
            <w:pPr>
              <w:widowControl/>
              <w:shd w:val="clear" w:color="auto" w:fill="FFFFFF"/>
              <w:adjustRightInd w:val="0"/>
              <w:snapToGrid w:val="0"/>
              <w:spacing w:line="360" w:lineRule="auto"/>
              <w:ind w:firstLine="315" w:firstLineChars="150"/>
              <w:rPr>
                <w:rFonts w:ascii="宋体" w:hAnsi="宋体"/>
                <w:szCs w:val="21"/>
              </w:rPr>
            </w:pPr>
            <w:r>
              <w:rPr>
                <w:rFonts w:hint="eastAsia" w:ascii="宋体" w:hAnsi="宋体"/>
                <w:szCs w:val="21"/>
              </w:rPr>
              <w:t>地区标准核算。</w:t>
            </w:r>
          </w:p>
        </w:tc>
      </w:tr>
    </w:tbl>
    <w:p>
      <w:pPr>
        <w:widowControl/>
        <w:adjustRightInd w:val="0"/>
        <w:snapToGrid w:val="0"/>
        <w:spacing w:line="360" w:lineRule="auto"/>
        <w:ind w:firstLine="480" w:firstLineChars="200"/>
        <w:jc w:val="left"/>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2．分散安排基地实践的经费标准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分散安排基地实践指由学生自己联系实习单位进行的实践教学活动，交通及住宿补助标准为每生60元。</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3．指导教师工作量及差旅标准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指导教师带队见（实）习、实训，工作量认定参照学校相关规定执行，生活补助每人每天50元；住宿原则上由基地单位解决，不能解决住宿的，住宿按以下标准执行：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实习时间以人才培养方案中规定学时为参考，时间在2周以上的按省内（含重庆）每人每天不超过200元（省外每人每天不超过220元）凭票报销；时间在2周及以内的参照学校出差管理办法规定标准凭票报销。</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（二）实践教学校外指导教师指导费标准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1．校外指导教师指导费在该实践教学活动实习指导费（含管理费）项目总经费中包干使用，标准每小时不超过100元。</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2．聘请基础教育教师联合指导学生教学试讲完成相关工作并达到要求，标准为每生100元。</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（三）学科竞赛经费标准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学科竞赛经费用于所需资料购买、实验耗材、文印费、指导费、学生参赛费、参赛期间指导教师及学生差旅费、奖励等。</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1．竞赛组织、培训工作量及奖励根据《内江师范学院大学生学科竞赛管理办法》执行。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差旅费：学生参赛乘车单程时间在12小时以内的，按相对应的汽车、火车硬座、动车二等座、轮船三等舱报销，其它可按相对应的汽车、火车硬卧、动车二等座、轮船三等舱报销；学生住宿费应按照竞赛主办单位提供的住宿标准报销，未提供住宿标准的每生每天不超过80元凭票报销。带队教师差旅费按学校《内江师范学院差旅费管理办法》报销。</w:t>
      </w:r>
    </w:p>
    <w:p>
      <w:pPr>
        <w:widowControl/>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第四条  实践教学经费的报销及要求</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（一）指导（带队）教师住宿原则上采用银行转账或者公务卡结算；确需以现金支付的，应当由经办人书面说明原因，并经学校财务处审批。</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（二）学科竞赛耗材费由经办人、验收人、二级学院分管领导签字后凭发票并附购物清单报销。</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三）实践教学校外指导教师指导费，凭校外教师签名、带队教师与学生代表签字的《内江师范学院实践教学指导教师指导费发放表》，经二级学院分管领导初审后办理报销手续；管理费（教学必需的景区门票）在该项经费总额中凭实习单位票据（景区门票）报销。</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四）学生外出实践前，带队教师按人才培养方案和教学大纲填报实习计划，在实习前一周办理借款手续，借款单须经二级学院分管领导审核、教务处负责人签字批准。实践结束后，带队教师应在一月内（假期顺延），凭经费报销单据经二级学院分管领导初审后办理报销手续。</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（五）部分实践教学费用亦可由学生签字领取</w:t>
      </w:r>
    </w:p>
    <w:p>
      <w:pPr>
        <w:widowControl/>
        <w:adjustRightInd w:val="0"/>
        <w:snapToGrid w:val="0"/>
        <w:spacing w:line="360" w:lineRule="auto"/>
        <w:ind w:firstLine="664"/>
        <w:rPr>
          <w:rFonts w:ascii="宋体" w:hAnsi="宋体"/>
          <w:sz w:val="24"/>
          <w:szCs w:val="24"/>
        </w:rPr>
      </w:pPr>
      <w:r>
        <w:rPr>
          <w:rFonts w:hint="eastAsia" w:ascii="宋体" w:hAnsi="宋体"/>
          <w:sz w:val="24"/>
          <w:szCs w:val="24"/>
        </w:rPr>
        <w:t>1．采取分散形式进行专业（毕业）实习的专业，实习结束完成实习成绩考核册，考核合格的，由二级学院提供学生经费领取名单，经二级学院分管领导初审后办理报销手续。</w:t>
      </w:r>
    </w:p>
    <w:p>
      <w:pPr>
        <w:widowControl/>
        <w:adjustRightInd w:val="0"/>
        <w:snapToGrid w:val="0"/>
        <w:spacing w:line="360" w:lineRule="auto"/>
        <w:ind w:firstLine="664"/>
        <w:rPr>
          <w:rFonts w:ascii="宋体" w:hAnsi="宋体"/>
          <w:sz w:val="24"/>
          <w:szCs w:val="24"/>
        </w:rPr>
      </w:pPr>
      <w:r>
        <w:rPr>
          <w:rFonts w:hint="eastAsia" w:ascii="宋体" w:hAnsi="宋体"/>
          <w:sz w:val="24"/>
          <w:szCs w:val="24"/>
        </w:rPr>
        <w:t>2．交通及住宿补助，按实习学生实际参加实践教学活动的人数、时间，经费标准，由二级学院提供学生经费领取名单，经二级学院分管领导初审后办理报销手续。</w:t>
      </w:r>
    </w:p>
    <w:p>
      <w:pPr>
        <w:widowControl/>
        <w:shd w:val="clear" w:color="auto" w:fill="FFFFFF"/>
        <w:adjustRightInd w:val="0"/>
        <w:snapToGrid w:val="0"/>
        <w:spacing w:line="360" w:lineRule="auto"/>
        <w:ind w:firstLine="723" w:firstLineChars="300"/>
        <w:jc w:val="left"/>
        <w:rPr>
          <w:rFonts w:ascii="宋体" w:hAnsi="宋体"/>
          <w:b/>
          <w:sz w:val="24"/>
          <w:szCs w:val="24"/>
        </w:rPr>
      </w:pPr>
      <w:r>
        <w:rPr>
          <w:rFonts w:hint="eastAsia" w:ascii="宋体" w:hAnsi="宋体"/>
          <w:b/>
          <w:sz w:val="24"/>
          <w:szCs w:val="24"/>
        </w:rPr>
        <w:t>第五条 实践教学地点选择的原则</w:t>
      </w:r>
    </w:p>
    <w:p>
      <w:pPr>
        <w:widowControl/>
        <w:adjustRightInd w:val="0"/>
        <w:snapToGrid w:val="0"/>
        <w:spacing w:line="360" w:lineRule="auto"/>
        <w:ind w:firstLine="664"/>
        <w:rPr>
          <w:rFonts w:ascii="宋体" w:hAnsi="宋体"/>
          <w:sz w:val="24"/>
          <w:szCs w:val="24"/>
        </w:rPr>
      </w:pPr>
      <w:r>
        <w:rPr>
          <w:rFonts w:hint="eastAsia" w:ascii="宋体" w:hAnsi="宋体"/>
          <w:sz w:val="24"/>
          <w:szCs w:val="24"/>
        </w:rPr>
        <w:t>实践教学地点的选择应根据“就近安排”的原则。在保证完成实践教学任务的前提下，凡能在本地教学实践的，不到外地去；能在近处教学实践，不到远处去。尽可能建立稳定的实践基地，便于教学单位与实践基地之间的相互交流与协作，提高实践教学效果，节省经费开支。</w:t>
      </w:r>
    </w:p>
    <w:p>
      <w:pPr>
        <w:widowControl/>
        <w:shd w:val="clear" w:color="auto" w:fill="FFFFFF"/>
        <w:adjustRightInd w:val="0"/>
        <w:snapToGrid w:val="0"/>
        <w:spacing w:line="360" w:lineRule="auto"/>
        <w:ind w:firstLine="723" w:firstLineChars="300"/>
        <w:jc w:val="left"/>
        <w:rPr>
          <w:rFonts w:ascii="宋体" w:hAnsi="宋体"/>
          <w:b/>
          <w:sz w:val="24"/>
          <w:szCs w:val="24"/>
        </w:rPr>
      </w:pPr>
      <w:r>
        <w:rPr>
          <w:rFonts w:hint="eastAsia" w:ascii="宋体" w:hAnsi="宋体"/>
          <w:b/>
          <w:sz w:val="24"/>
          <w:szCs w:val="24"/>
        </w:rPr>
        <w:t>第六条  附  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（一）凡实习不及格或因学生个人特殊情况无法按教学执行计划实习的学生，经个人申请，所在学院审批后可以重修实习，重修实习的费用由学生本人负担。</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（二）本办法自发文之日起执行，原《内江师范学院实践教学经费管理办法（试行）》（内师院发〔2014〕130号）同时废止，凡与本办法规定不一致的，以本办法为准，由教务处负责解释。</w:t>
      </w:r>
    </w:p>
    <w:p>
      <w:pPr>
        <w:widowControl/>
        <w:spacing w:after="156" w:afterLines="50" w:line="360" w:lineRule="auto"/>
        <w:jc w:val="center"/>
        <w:rPr>
          <w:rFonts w:ascii="宋体" w:hAnsi="宋体"/>
          <w:sz w:val="24"/>
          <w:szCs w:val="24"/>
        </w:rPr>
      </w:pPr>
    </w:p>
    <w:p>
      <w:pPr>
        <w:widowControl/>
        <w:spacing w:after="156" w:afterLines="50" w:line="360" w:lineRule="auto"/>
        <w:jc w:val="right"/>
        <w:rPr>
          <w:rFonts w:ascii="宋体" w:hAnsi="宋体"/>
          <w:sz w:val="24"/>
          <w:szCs w:val="24"/>
        </w:rPr>
      </w:pPr>
      <w:r>
        <w:rPr>
          <w:rFonts w:hint="eastAsia" w:ascii="宋体" w:hAnsi="宋体"/>
          <w:sz w:val="24"/>
          <w:szCs w:val="24"/>
        </w:rPr>
        <w:t>2018年5月18日</w:t>
      </w:r>
    </w:p>
    <w:p>
      <w:pPr>
        <w:spacing w:line="360" w:lineRule="auto"/>
        <w:rPr>
          <w:rFonts w:asciiTheme="minorEastAsia" w:hAnsiTheme="minorEastAsia"/>
          <w:sz w:val="24"/>
          <w:szCs w:val="24"/>
        </w:rPr>
      </w:pPr>
      <w:r>
        <w:rPr>
          <w:rFonts w:asciiTheme="minorEastAsia" w:hAnsiTheme="minorEastAsia"/>
          <w:sz w:val="24"/>
          <w:szCs w:val="24"/>
        </w:rPr>
        <w:br w:type="page"/>
      </w:r>
    </w:p>
    <w:p>
      <w:pPr>
        <w:adjustRightInd w:val="0"/>
        <w:snapToGrid w:val="0"/>
        <w:spacing w:line="560" w:lineRule="exact"/>
        <w:ind w:firstLine="482" w:firstLineChars="150"/>
        <w:jc w:val="center"/>
        <w:rPr>
          <w:rFonts w:asciiTheme="minorEastAsia" w:hAnsiTheme="minorEastAsia"/>
          <w:b/>
          <w:color w:val="000000"/>
          <w:sz w:val="32"/>
          <w:szCs w:val="32"/>
        </w:rPr>
      </w:pPr>
      <w:r>
        <w:rPr>
          <w:rFonts w:hint="eastAsia" w:asciiTheme="minorEastAsia" w:hAnsiTheme="minorEastAsia"/>
          <w:b/>
          <w:color w:val="000000"/>
          <w:sz w:val="32"/>
          <w:szCs w:val="32"/>
        </w:rPr>
        <w:t>内江师范学院大学生学科竞赛管理办法（修订）</w:t>
      </w:r>
    </w:p>
    <w:p>
      <w:pPr>
        <w:adjustRightInd w:val="0"/>
        <w:snapToGrid w:val="0"/>
        <w:spacing w:line="560" w:lineRule="exact"/>
        <w:ind w:firstLine="422" w:firstLineChars="150"/>
        <w:jc w:val="center"/>
        <w:rPr>
          <w:rFonts w:asciiTheme="minorEastAsia" w:hAnsiTheme="minorEastAsia"/>
          <w:b/>
          <w:color w:val="000000"/>
          <w:sz w:val="28"/>
          <w:szCs w:val="28"/>
        </w:rPr>
      </w:pPr>
      <w:r>
        <w:rPr>
          <w:rFonts w:hint="eastAsia" w:asciiTheme="minorEastAsia" w:hAnsiTheme="minorEastAsia"/>
          <w:b/>
          <w:color w:val="000000"/>
          <w:sz w:val="28"/>
          <w:szCs w:val="28"/>
        </w:rPr>
        <w:t>内师院发〔</w:t>
      </w:r>
      <w:r>
        <w:rPr>
          <w:rFonts w:asciiTheme="minorEastAsia" w:hAnsiTheme="minorEastAsia"/>
          <w:b/>
          <w:color w:val="000000"/>
          <w:sz w:val="28"/>
          <w:szCs w:val="28"/>
        </w:rPr>
        <w:t>2017〕23号</w:t>
      </w:r>
    </w:p>
    <w:p>
      <w:pPr>
        <w:adjustRightInd w:val="0"/>
        <w:snapToGrid w:val="0"/>
        <w:spacing w:line="560" w:lineRule="exact"/>
        <w:ind w:firstLine="482" w:firstLineChars="150"/>
        <w:jc w:val="center"/>
        <w:rPr>
          <w:rFonts w:asciiTheme="minorEastAsia" w:hAnsiTheme="minorEastAsia"/>
          <w:b/>
          <w:color w:val="000000"/>
          <w:sz w:val="32"/>
          <w:szCs w:val="32"/>
        </w:rPr>
      </w:pPr>
    </w:p>
    <w:p>
      <w:pPr>
        <w:adjustRightInd w:val="0"/>
        <w:snapToGrid w:val="0"/>
        <w:spacing w:line="360" w:lineRule="auto"/>
        <w:ind w:firstLine="360" w:firstLineChars="150"/>
        <w:rPr>
          <w:rFonts w:asciiTheme="minorEastAsia" w:hAnsiTheme="minorEastAsia"/>
          <w:color w:val="000000"/>
          <w:sz w:val="24"/>
          <w:szCs w:val="24"/>
        </w:rPr>
      </w:pPr>
      <w:r>
        <w:rPr>
          <w:rFonts w:hint="eastAsia" w:asciiTheme="minorEastAsia" w:hAnsiTheme="minorEastAsia"/>
          <w:color w:val="000000"/>
          <w:sz w:val="24"/>
          <w:szCs w:val="24"/>
        </w:rPr>
        <w:t>为促进教育教学改革，加强学生实践能力和创新意识的培养，提高学生运用所学知识解决实际问题的能力，激发学生创造性思维和学习兴趣，同时进一步规范我校学生参加学科竞赛的组织和管理，保障各项竞赛活动正常有序地进行，特修订本办法。</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一、学科竞赛内涵</w:t>
      </w:r>
    </w:p>
    <w:p>
      <w:pPr>
        <w:adjustRightInd w:val="0"/>
        <w:snapToGrid w:val="0"/>
        <w:spacing w:line="360" w:lineRule="auto"/>
        <w:ind w:firstLine="470" w:firstLineChars="196"/>
        <w:rPr>
          <w:rFonts w:asciiTheme="minorEastAsia" w:hAnsiTheme="minorEastAsia"/>
          <w:color w:val="000000"/>
          <w:sz w:val="24"/>
          <w:szCs w:val="24"/>
        </w:rPr>
      </w:pPr>
      <w:r>
        <w:rPr>
          <w:rFonts w:hint="eastAsia" w:asciiTheme="minorEastAsia" w:hAnsiTheme="minorEastAsia"/>
          <w:color w:val="000000"/>
          <w:sz w:val="24"/>
          <w:szCs w:val="24"/>
        </w:rPr>
        <w:t>本办法所指的学科竞赛，是经过学校批准结合学科专业组织或参加的大学生竞赛活动。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二、竞赛项目的类别与认定</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（一）竞赛项目的类别</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根据竞赛参与的级别和范围，学科竞赛项目分为一类竞赛项目、二类竞赛项目和专业技能竞赛。</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类竞赛项目是指由教育行政主管部门、联合国教科文组织或其他国际学术团体组织的全国（国际）性学科竞赛和全省性学科竞赛。学校将学生参赛面广、规模较大、在国内享有较高声誉的若干学科竞赛项目作为重点竞赛项目，其余的学科竞赛项目作为一般竞赛项目（见附件1）。</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二类竞赛项目是指未被纳入一类竞赛项目，由教育部专业教学指导委员会、企业或行业学会（协会）、专门的竞赛组织机构组织的全国性学科竞赛和全省性学科竞赛。</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专业技能竞赛是指由各二级学院结合人才培养目标组织的各类技能竞赛活动。</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（二）竞赛项目的认定</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 按照上述分类标准，学校对涉及不同学科专业、规模大且比较成熟的学科竞赛项目给予认定（见附件1）。</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2. 新增学科竞赛项目的认定程序</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（1）二级学院（部门）申请</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二级学院（部门）提交新增学科竞赛项目申请（申请表见附件2）。新增申报项目不能与已认定通过的项目类似，且低于已认定项目类别的竞赛项目。</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（2）学校审批</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学校组织专家认定新增学科竞赛项目，经批准后依照本办法管理。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三、竞赛的组织与实施</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 学科竞赛工作实行校、院两级管理，</w:t>
      </w:r>
      <w:r>
        <w:rPr>
          <w:rFonts w:hint="eastAsia" w:cs="Arial" w:asciiTheme="minorEastAsia" w:hAnsiTheme="minorEastAsia"/>
          <w:color w:val="000000"/>
          <w:kern w:val="0"/>
          <w:sz w:val="24"/>
          <w:szCs w:val="24"/>
        </w:rPr>
        <w:t>按照“学校组织、二级学院（部门）承办、目标管理”的方式进行，并实行项目管理制。具体职责分工为：</w:t>
      </w:r>
      <w:r>
        <w:rPr>
          <w:rFonts w:hint="eastAsia" w:asciiTheme="minorEastAsia" w:hAnsiTheme="minorEastAsia"/>
          <w:color w:val="000000"/>
          <w:sz w:val="24"/>
          <w:szCs w:val="24"/>
        </w:rPr>
        <w:t>教务处作为学科竞赛的组织和协调部门，主</w:t>
      </w:r>
      <w:r>
        <w:rPr>
          <w:rFonts w:hint="eastAsia" w:cs="Arial" w:asciiTheme="minorEastAsia" w:hAnsiTheme="minorEastAsia"/>
          <w:color w:val="000000"/>
          <w:kern w:val="0"/>
          <w:sz w:val="24"/>
          <w:szCs w:val="24"/>
        </w:rPr>
        <w:t>要负责学科竞赛政策制定、项目审定、竞赛实施方案审核等事项决策</w:t>
      </w:r>
      <w:r>
        <w:rPr>
          <w:rFonts w:hint="eastAsia" w:asciiTheme="minorEastAsia" w:hAnsiTheme="minorEastAsia"/>
          <w:color w:val="000000"/>
          <w:sz w:val="24"/>
          <w:szCs w:val="24"/>
        </w:rPr>
        <w:t>和具体赛事的协调工作。二级学院（部门）作为学科竞赛的具体实施单位，主要负责整个竞赛的组织工作，如制定竞赛实施细则和方案，落实竞赛所需的场地、仪器设备；竞赛的宣传、报名、培训以及竞赛结束后的总结等。</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2. 竞赛项目的承办二级学院（部门）应成立由二级学院（部门）领导负责的竞赛工作指导小组，小组成员原则上应包含专业教师、教学科研办公室等相关人员，并指定专人协调联络。</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3. 二级学院（部门）提出新增学科竞赛项目和专业技能竞赛项目申请。制定已认定项目的实施方案（原则上每个参赛队配备一名指导教师，同一名指导教师在同一竞赛项目指导的团队数不超过5个），经学校审核批准实施，经学校审核批准实施。</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四、竞赛经费</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 为确保竞赛工作顺利进行，学校设立学科竞赛专项经费，用于竞赛所需的宣传费、参赛费、资料费、元器件消耗费、实物制作材料费、专家评审费、指导教师工作酬金、竞赛期间教师差旅费及参赛学生交通、住宿、生活补助等。</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2. 竞赛期间产生的住宿费、交通费等按学校相关规定报销。竞赛期间参赛教师和学生的补助按学校相关文件执行。</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组织参加未经学校认定通过的学科竞赛项目，学校不给予经费资助。</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五、保障措施</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（一）学科竞赛培训</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 一类项目如需组班（不少于30人）进行理论培训，报教务处审核，原则上重点项目不超过64课时（按50元/课时标准执行，以下同），一般项目不超过32课时。</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2. 一类重点竞赛项目竞赛期间教师指导的培训（辅导）经费标准为：国家级一等奖8000元/队,国家级二等奖6000元/队，国家级三等奖（含省级一等奖）4000元/队，省级二等奖3000元/队，省级三等奖2000元/队，未获奖但成功参赛项目给予500元/队认定，同一学科竞赛项目获得的不同级别奖项，按最高等级给予培训经费，不重复计算。</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一类一般竞赛项目竞赛期间指导教师的培训（辅导）经费标准为：国家级一等奖5000元/赛事,国家级二等奖4000元/赛事，国家级三等奖（含省级一等奖）3000元/赛事，省级二等奖2000元/赛事，省级三等奖1000元/赛事，未获奖但成功参赛项目给予500元/赛事认定，同一学科竞赛项目获得的不同级别奖项，按最高等级给予培训经费，不重复计算。</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3. 对于组织、实施重点项目的负责人学校给予其1000元/赛事的培训（辅导）经费。</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4. 经学校批准的专业技能竞赛，学校给予1000元/赛事的培训（辅导）经费。</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（二）学科竞赛奖励</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学校对参加竞赛获奖的指导教师和学生给予奖励，奖励遵循以下原则：</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学科竞赛获奖级别的认定，以竞赛主办单位颁发的获奖证书及文件为依据。同一学生（团队）在同一个竞赛项目中获多项不同级别竞赛奖项，只计最高奖项，不重复计算；同一学生（团队）在同一个竞赛项目的不同参赛项中获多个奖项，只计最高奖项，不重复计算；不同团队在同一竞赛项目中的获奖，须扣除重复参赛学生数后按比例折算。同一学科竞赛项目中团队的奖励，由竞赛负责人根据获奖者的贡献大小予以分配。</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 教师指导学生参加学科竞赛获奖的教研积分按学校相关文件执行。</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2. 教师指导学生参加学科竞赛获奖奖励按学校教学奖励相关文件执行。</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学生参加学科竞赛获奖的学分按以下标准进行奖励。</w:t>
      </w:r>
    </w:p>
    <w:tbl>
      <w:tblPr>
        <w:tblStyle w:val="15"/>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693"/>
        <w:gridCol w:w="170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获奖级别</w:t>
            </w: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获奖等级</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可得学分/项</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restart"/>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国家级</w:t>
            </w: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一等奖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6</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continue"/>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二等奖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5</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continue"/>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三等奖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4</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restart"/>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省级</w:t>
            </w: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一等奖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4</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二类竞赛的全国一等奖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continue"/>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二等奖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3</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二类竞赛的全国二等奖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6" w:type="dxa"/>
            <w:vMerge w:val="continue"/>
            <w:shd w:val="clear" w:color="auto" w:fill="auto"/>
            <w:vAlign w:val="center"/>
          </w:tcPr>
          <w:p>
            <w:pPr>
              <w:adjustRightInd w:val="0"/>
              <w:snapToGrid w:val="0"/>
              <w:spacing w:line="360" w:lineRule="auto"/>
              <w:jc w:val="center"/>
              <w:rPr>
                <w:rFonts w:asciiTheme="minorEastAsia" w:hAnsiTheme="minorEastAsia"/>
                <w:color w:val="000000"/>
                <w:sz w:val="24"/>
                <w:szCs w:val="24"/>
              </w:rPr>
            </w:pPr>
          </w:p>
        </w:tc>
        <w:tc>
          <w:tcPr>
            <w:tcW w:w="2693"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三等奖</w:t>
            </w:r>
          </w:p>
        </w:tc>
        <w:tc>
          <w:tcPr>
            <w:tcW w:w="1701"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2</w:t>
            </w:r>
          </w:p>
        </w:tc>
        <w:tc>
          <w:tcPr>
            <w:tcW w:w="3544" w:type="dxa"/>
            <w:shd w:val="clear" w:color="auto" w:fill="auto"/>
            <w:vAlign w:val="center"/>
          </w:tcPr>
          <w:p>
            <w:pPr>
              <w:adjustRightInd w:val="0"/>
              <w:snapToGrid w:val="0"/>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二类竞赛的全国三等奖</w:t>
            </w:r>
          </w:p>
        </w:tc>
      </w:tr>
    </w:tbl>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奖励学分可替代部分相关课程设计、课程实验、实训、实习、公共选修课等学分，替代学分总数不超过5个学分，具体办法由各二级学院制定，报教务处核准后实施。</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4. 学生参加学科竞赛获奖可申请专项奖学金，具体要求按学校相关文件执行。</w:t>
      </w:r>
    </w:p>
    <w:p>
      <w:pPr>
        <w:adjustRightInd w:val="0"/>
        <w:snapToGrid w:val="0"/>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六、其它</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学校支持的学科竞赛作品及其成果，其知识产权归学校所有。作品由承办单位（或学生所在学院）负责保管，需要存档的，移交学校档案室存档。若获奖作品发生专利（技术）转让，其转让费用按学校相关规定执行。</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本办法由教务处负责解释，自2017年1月1日起开始施行，原《内江师范学院大学生学科竞赛管理办法（试行）》（内师院发〔2012〕116号）同时废止。</w:t>
      </w:r>
    </w:p>
    <w:p>
      <w:pPr>
        <w:adjustRightInd w:val="0"/>
        <w:snapToGrid w:val="0"/>
        <w:spacing w:line="360" w:lineRule="auto"/>
        <w:ind w:firstLine="484" w:firstLineChars="202"/>
        <w:jc w:val="left"/>
        <w:rPr>
          <w:rFonts w:asciiTheme="minorEastAsia" w:hAnsiTheme="minorEastAsia"/>
          <w:color w:val="000000"/>
          <w:sz w:val="24"/>
          <w:szCs w:val="24"/>
        </w:rPr>
      </w:pP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附件：１．内江师范学院学科竞赛项目一览表</w:t>
      </w:r>
    </w:p>
    <w:p>
      <w:pPr>
        <w:adjustRightInd w:val="0"/>
        <w:snapToGrid w:val="0"/>
        <w:spacing w:line="360" w:lineRule="auto"/>
        <w:ind w:firstLine="484" w:firstLineChars="202"/>
        <w:jc w:val="left"/>
        <w:rPr>
          <w:rFonts w:asciiTheme="minorEastAsia" w:hAnsiTheme="minorEastAsia"/>
          <w:color w:val="000000"/>
          <w:sz w:val="24"/>
          <w:szCs w:val="24"/>
        </w:rPr>
      </w:pPr>
      <w:r>
        <w:rPr>
          <w:rFonts w:hint="eastAsia" w:asciiTheme="minorEastAsia" w:hAnsiTheme="minorEastAsia"/>
          <w:color w:val="000000"/>
          <w:sz w:val="24"/>
          <w:szCs w:val="24"/>
        </w:rPr>
        <w:t>　　　２．内江师范学院新增学科竞赛项目申请表</w:t>
      </w:r>
    </w:p>
    <w:p>
      <w:pPr>
        <w:adjustRightInd w:val="0"/>
        <w:snapToGrid w:val="0"/>
        <w:spacing w:line="360" w:lineRule="auto"/>
        <w:ind w:firstLine="484" w:firstLineChars="202"/>
        <w:jc w:val="left"/>
        <w:rPr>
          <w:rFonts w:asciiTheme="minorEastAsia" w:hAnsiTheme="minorEastAsia"/>
          <w:color w:val="000000"/>
          <w:sz w:val="24"/>
          <w:szCs w:val="24"/>
        </w:rPr>
      </w:pPr>
    </w:p>
    <w:p>
      <w:pPr>
        <w:adjustRightInd w:val="0"/>
        <w:snapToGrid w:val="0"/>
        <w:spacing w:line="360" w:lineRule="auto"/>
        <w:ind w:firstLine="484" w:firstLineChars="202"/>
        <w:jc w:val="left"/>
        <w:rPr>
          <w:rFonts w:asciiTheme="minorEastAsia" w:hAnsiTheme="minorEastAsia"/>
          <w:color w:val="000000"/>
          <w:sz w:val="24"/>
          <w:szCs w:val="24"/>
        </w:rPr>
      </w:pPr>
    </w:p>
    <w:p>
      <w:pPr>
        <w:adjustRightInd w:val="0"/>
        <w:snapToGrid w:val="0"/>
        <w:spacing w:line="360" w:lineRule="auto"/>
        <w:ind w:firstLine="484" w:firstLineChars="202"/>
        <w:jc w:val="left"/>
        <w:rPr>
          <w:rFonts w:asciiTheme="minorEastAsia" w:hAnsiTheme="minorEastAsia"/>
          <w:color w:val="000000"/>
          <w:sz w:val="24"/>
          <w:szCs w:val="24"/>
        </w:rPr>
      </w:pPr>
    </w:p>
    <w:p>
      <w:pPr>
        <w:adjustRightInd w:val="0"/>
        <w:snapToGrid w:val="0"/>
        <w:spacing w:line="360" w:lineRule="auto"/>
        <w:ind w:firstLine="484" w:firstLineChars="202"/>
        <w:jc w:val="left"/>
        <w:rPr>
          <w:rFonts w:asciiTheme="minorEastAsia" w:hAnsiTheme="minorEastAsia"/>
          <w:color w:val="000000"/>
          <w:sz w:val="24"/>
          <w:szCs w:val="24"/>
        </w:rPr>
      </w:pPr>
    </w:p>
    <w:p>
      <w:pPr>
        <w:adjustRightInd w:val="0"/>
        <w:snapToGrid w:val="0"/>
        <w:spacing w:line="360" w:lineRule="auto"/>
        <w:ind w:firstLine="484" w:firstLineChars="202"/>
        <w:jc w:val="left"/>
        <w:rPr>
          <w:rFonts w:asciiTheme="minorEastAsia" w:hAnsiTheme="minorEastAsia"/>
          <w:color w:val="000000"/>
          <w:sz w:val="24"/>
          <w:szCs w:val="24"/>
        </w:rPr>
      </w:pPr>
    </w:p>
    <w:p>
      <w:pPr>
        <w:tabs>
          <w:tab w:val="left" w:pos="6946"/>
          <w:tab w:val="left" w:pos="7655"/>
        </w:tabs>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2017年3月13日</w:t>
      </w:r>
    </w:p>
    <w:p>
      <w:pPr>
        <w:adjustRightInd w:val="0"/>
        <w:snapToGrid w:val="0"/>
        <w:spacing w:line="360" w:lineRule="auto"/>
        <w:ind w:firstLine="484" w:firstLineChars="202"/>
        <w:jc w:val="left"/>
        <w:rPr>
          <w:rFonts w:asciiTheme="minorEastAsia" w:hAnsiTheme="minorEastAsia"/>
          <w:color w:val="000000"/>
          <w:sz w:val="24"/>
          <w:szCs w:val="24"/>
        </w:rPr>
      </w:pPr>
    </w:p>
    <w:p>
      <w:pPr>
        <w:spacing w:line="360" w:lineRule="auto"/>
        <w:rPr>
          <w:rFonts w:asciiTheme="minorEastAsia" w:hAnsiTheme="minorEastAsia"/>
          <w:sz w:val="24"/>
          <w:szCs w:val="24"/>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32"/>
          <w:szCs w:val="32"/>
        </w:rPr>
      </w:pPr>
    </w:p>
    <w:p>
      <w:pPr>
        <w:adjustRightInd w:val="0"/>
        <w:snapToGrid w:val="0"/>
        <w:spacing w:line="360" w:lineRule="auto"/>
        <w:jc w:val="left"/>
        <w:rPr>
          <w:rFonts w:ascii="黑体" w:hAnsi="宋体" w:eastAsia="黑体"/>
          <w:color w:val="000000"/>
          <w:sz w:val="28"/>
          <w:szCs w:val="28"/>
        </w:rPr>
      </w:pPr>
    </w:p>
    <w:p>
      <w:pPr>
        <w:adjustRightInd w:val="0"/>
        <w:snapToGrid w:val="0"/>
        <w:spacing w:line="360" w:lineRule="auto"/>
        <w:jc w:val="left"/>
        <w:rPr>
          <w:rFonts w:ascii="黑体" w:hAnsi="宋体" w:eastAsia="黑体"/>
          <w:b/>
          <w:color w:val="000000"/>
          <w:sz w:val="28"/>
          <w:szCs w:val="28"/>
        </w:rPr>
      </w:pPr>
      <w:r>
        <w:rPr>
          <w:rFonts w:hint="eastAsia" w:ascii="黑体" w:hAnsi="宋体" w:eastAsia="黑体"/>
          <w:b/>
          <w:color w:val="000000"/>
          <w:sz w:val="28"/>
          <w:szCs w:val="28"/>
        </w:rPr>
        <w:t>附件1</w:t>
      </w:r>
    </w:p>
    <w:p>
      <w:pPr>
        <w:adjustRightInd w:val="0"/>
        <w:snapToGrid w:val="0"/>
        <w:spacing w:line="360" w:lineRule="auto"/>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内江师范学院学科竞赛项目一览表</w:t>
      </w:r>
    </w:p>
    <w:tbl>
      <w:tblPr>
        <w:tblStyle w:val="15"/>
        <w:tblW w:w="9371" w:type="dxa"/>
        <w:tblInd w:w="0" w:type="dxa"/>
        <w:tblLayout w:type="fixed"/>
        <w:tblCellMar>
          <w:top w:w="0" w:type="dxa"/>
          <w:left w:w="0" w:type="dxa"/>
          <w:bottom w:w="0" w:type="dxa"/>
          <w:right w:w="0" w:type="dxa"/>
        </w:tblCellMar>
      </w:tblPr>
      <w:tblGrid>
        <w:gridCol w:w="3559"/>
        <w:gridCol w:w="2977"/>
        <w:gridCol w:w="992"/>
        <w:gridCol w:w="851"/>
        <w:gridCol w:w="992"/>
      </w:tblGrid>
      <w:tr>
        <w:tblPrEx>
          <w:tblLayout w:type="fixed"/>
          <w:tblCellMar>
            <w:top w:w="0" w:type="dxa"/>
            <w:left w:w="0" w:type="dxa"/>
            <w:bottom w:w="0" w:type="dxa"/>
            <w:right w:w="0" w:type="dxa"/>
          </w:tblCellMar>
        </w:tblPrEx>
        <w:trPr>
          <w:trHeight w:val="499" w:hRule="atLeast"/>
          <w:tblHeader/>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b/>
                <w:color w:val="000000"/>
                <w:szCs w:val="21"/>
              </w:rPr>
            </w:pPr>
            <w:r>
              <w:rPr>
                <w:rFonts w:hint="eastAsia" w:ascii="方正仿宋简体" w:hAnsi="宋体" w:eastAsia="方正仿宋简体"/>
                <w:b/>
                <w:color w:val="000000"/>
                <w:szCs w:val="21"/>
              </w:rPr>
              <w:t>竞赛项目</w:t>
            </w:r>
          </w:p>
        </w:tc>
        <w:tc>
          <w:tcPr>
            <w:tcW w:w="2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b/>
                <w:color w:val="000000"/>
                <w:szCs w:val="21"/>
              </w:rPr>
            </w:pPr>
            <w:r>
              <w:rPr>
                <w:rFonts w:hint="eastAsia" w:ascii="方正仿宋简体" w:hAnsi="宋体" w:eastAsia="方正仿宋简体"/>
                <w:b/>
                <w:color w:val="000000"/>
                <w:szCs w:val="21"/>
              </w:rPr>
              <w:t>主办单位</w:t>
            </w:r>
          </w:p>
        </w:tc>
        <w:tc>
          <w:tcPr>
            <w:tcW w:w="9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b/>
                <w:color w:val="000000"/>
                <w:szCs w:val="21"/>
              </w:rPr>
            </w:pPr>
            <w:r>
              <w:rPr>
                <w:rFonts w:hint="eastAsia" w:ascii="方正仿宋简体" w:hAnsi="宋体" w:eastAsia="方正仿宋简体"/>
                <w:b/>
                <w:color w:val="000000"/>
                <w:szCs w:val="21"/>
              </w:rPr>
              <w:t>承办单位</w:t>
            </w: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b/>
                <w:color w:val="000000"/>
                <w:szCs w:val="21"/>
              </w:rPr>
            </w:pPr>
            <w:r>
              <w:rPr>
                <w:rFonts w:hint="eastAsia" w:ascii="方正仿宋简体" w:hAnsi="宋体" w:eastAsia="方正仿宋简体"/>
                <w:b/>
                <w:color w:val="000000"/>
                <w:szCs w:val="21"/>
              </w:rPr>
              <w:t>类别</w:t>
            </w:r>
          </w:p>
        </w:tc>
        <w:tc>
          <w:tcPr>
            <w:tcW w:w="9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b/>
                <w:color w:val="000000"/>
                <w:szCs w:val="21"/>
              </w:rPr>
            </w:pPr>
            <w:r>
              <w:rPr>
                <w:rFonts w:hint="eastAsia" w:ascii="方正仿宋简体" w:hAnsi="宋体" w:eastAsia="方正仿宋简体"/>
                <w:b/>
                <w:color w:val="000000"/>
                <w:szCs w:val="21"/>
              </w:rPr>
              <w:t>备注</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“挑战杯”全国大学生科技作品竞赛（含中国大学生创业计划竞赛）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团中央、教育部、全国学联等</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团委</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重点项目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中国“互联网+”大学生创新创业大赛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教育部、团中央、人社部等</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教务处</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重点项目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全国大学生电子设计竞赛（含嵌入式专题竞赛）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教育部高等教育司</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物电学院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重点项目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全国大学生数学建模竞赛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教育部高等教育司</w:t>
            </w:r>
          </w:p>
          <w:p>
            <w:pPr>
              <w:snapToGrid w:val="0"/>
              <w:rPr>
                <w:rFonts w:ascii="方正仿宋简体" w:hAnsi="宋体" w:eastAsia="方正仿宋简体"/>
                <w:color w:val="000000"/>
                <w:szCs w:val="21"/>
              </w:rPr>
            </w:pP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数信学院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重点项目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美国大学生数学建模竞赛（MCM）</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美国数学及其应用联合会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数信学院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重点项目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四川省省级大学生竞赛项目</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省教育厅</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二级学院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一般项目</w:t>
            </w: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“华文杯”全国师范院校师范生教学技能大赛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中国教育技术协会微格教学专业委员会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生科学院</w:t>
            </w:r>
          </w:p>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政管学院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建筑信息模型（BIM）应用设计大赛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中国勘察设计协会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建工学院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全国大学生结构设计竞赛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高等学校土木工程学科专业指导委员会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建工学院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全国高等院校工程造价技能及创新竞赛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中国建设工程造价管理协会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建工学院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全国高校地理师范生教学技能大赛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中国教育学会地理教学专业委员会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地资学院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全国高等院校健身气功比赛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 xml:space="preserve">国家体育总局身健身气功管理中心                </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体育学院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全国数据挖掘挑战赛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全国大学生数学建模竞赛组委会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数信学院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四川省大学生普通物理知识竞赛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四川省物理学会主办</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物电学院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全国大学生英语竞赛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教育部高等学校大学外语教学指导委员会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外语学院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全国英语演讲、写作、阅读大赛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 xml:space="preserve">教育部高等学校英语专业教学指导分委员会                                   </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外语学院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国际英语电视大赛暨中央电视台“希望之星”英语风采大赛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国际英语电视大赛组委会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外语学院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全国大学生电子商务“创新、创意及创业”挑战赛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教育部高等学校电子商务类专业教学指导委员会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经管学院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全国旅游院校服务技能（导游服务）大赛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中国旅游协会旅游教育分会 广东省旅游局</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经管学院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全国大学生创业综合模拟大赛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高等学校国家级实验教学示范中心联席会经管学科组</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经管学院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全国电子商务运营竞赛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全国电子商务职业教育教学指导委员会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经管学院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全国大学生物联网设计竞赛(TI杯)</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教育部高等学校计算机类专业教学指导委员会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计科学院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中国高校计算机大赛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教育部高等学校计算机类专业教学指导委员会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计科学院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全国大学生智能汽车竞赛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教育部高等学校自动化专业教学指导委员会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计科学院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全国大学生计算机设计大赛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教育部高等学校计算机类专业教学指导委员会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计科学院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全国大学生网络技术大赛比赛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思科网络技术学院理事会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计科学院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国际运动舞蹈公开赛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IDSU国际运动舞蹈联盟（USA）</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体育学院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大学生广告艺术大赛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教育部高等学校新闻传播学类专业教学指导委员会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美术学院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全国高校数字艺术作品大赛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工业和信息化部人才交流中心</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美术学院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四川师范大学美术学院“学院奖”</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四川省美术家协会、四川师范大学美术学院</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美术学院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四川省大学生动漫旅游产品创意设计大赛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省教育厅</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美术学院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魅力校园合唱比赛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中国合唱协会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音乐学院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r>
        <w:tblPrEx>
          <w:tblLayout w:type="fixed"/>
          <w:tblCellMar>
            <w:top w:w="0" w:type="dxa"/>
            <w:left w:w="0" w:type="dxa"/>
            <w:bottom w:w="0" w:type="dxa"/>
            <w:right w:w="0" w:type="dxa"/>
          </w:tblCellMar>
        </w:tblPrEx>
        <w:trPr>
          <w:trHeight w:val="499" w:hRule="atLeast"/>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“神州唱响”全国高校声乐比赛</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r>
              <w:rPr>
                <w:rFonts w:hint="eastAsia" w:ascii="方正仿宋简体" w:hAnsi="宋体" w:eastAsia="方正仿宋简体"/>
                <w:color w:val="000000"/>
                <w:szCs w:val="21"/>
              </w:rPr>
              <w:t>中国音乐家协会</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音乐学院</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ascii="方正仿宋简体" w:hAnsi="宋体" w:eastAsia="方正仿宋简体"/>
                <w:color w:val="000000"/>
                <w:szCs w:val="21"/>
              </w:rPr>
            </w:pPr>
            <w:r>
              <w:rPr>
                <w:rFonts w:hint="eastAsia" w:ascii="方正仿宋简体" w:hAnsi="宋体" w:eastAsia="方正仿宋简体"/>
                <w:color w:val="000000"/>
                <w:szCs w:val="21"/>
              </w:rPr>
              <w:t>二类</w:t>
            </w:r>
          </w:p>
        </w:tc>
        <w:tc>
          <w:tcPr>
            <w:tcW w:w="9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ascii="方正仿宋简体" w:hAnsi="宋体" w:eastAsia="方正仿宋简体"/>
                <w:color w:val="000000"/>
                <w:szCs w:val="21"/>
              </w:rPr>
            </w:pPr>
          </w:p>
        </w:tc>
      </w:tr>
    </w:tbl>
    <w:p>
      <w:pPr>
        <w:snapToGrid w:val="0"/>
        <w:jc w:val="left"/>
        <w:rPr>
          <w:rFonts w:ascii="方正仿宋简体" w:hAnsi="宋体" w:eastAsia="方正仿宋简体"/>
          <w:b/>
          <w:color w:val="000000"/>
          <w:szCs w:val="21"/>
        </w:rPr>
      </w:pPr>
      <w:r>
        <w:rPr>
          <w:rFonts w:hint="eastAsia" w:ascii="宋体" w:hAnsi="宋体"/>
          <w:color w:val="000000"/>
          <w:szCs w:val="21"/>
        </w:rPr>
        <w:t>　　</w:t>
      </w:r>
      <w:r>
        <w:rPr>
          <w:rFonts w:hint="eastAsia" w:ascii="方正仿宋简体" w:hAnsi="宋体" w:eastAsia="方正仿宋简体"/>
          <w:b/>
          <w:color w:val="000000"/>
          <w:szCs w:val="21"/>
        </w:rPr>
        <w:t>注：“四川省省级大学生竞赛项目”以四川省教育厅当年公布的项目为准，且只承认参加与我校学生同层次组别的竞赛。</w:t>
      </w:r>
    </w:p>
    <w:p>
      <w:pPr>
        <w:tabs>
          <w:tab w:val="left" w:pos="1522"/>
        </w:tabs>
        <w:adjustRightInd w:val="0"/>
        <w:snapToGrid w:val="0"/>
        <w:spacing w:before="156" w:beforeLines="50"/>
        <w:jc w:val="left"/>
        <w:rPr>
          <w:rFonts w:ascii="宋体" w:hAnsi="宋体"/>
          <w:color w:val="000000"/>
          <w:szCs w:val="21"/>
        </w:rPr>
        <w:sectPr>
          <w:footerReference r:id="rId7" w:type="default"/>
          <w:pgSz w:w="11906" w:h="16838"/>
          <w:pgMar w:top="1417" w:right="1134" w:bottom="1134" w:left="1417" w:header="851" w:footer="992" w:gutter="0"/>
          <w:pgNumType w:fmt="decimal" w:start="1"/>
          <w:cols w:space="0" w:num="1"/>
          <w:docGrid w:type="lines" w:linePitch="312" w:charSpace="0"/>
        </w:sectPr>
      </w:pPr>
    </w:p>
    <w:p>
      <w:pPr>
        <w:tabs>
          <w:tab w:val="left" w:pos="1522"/>
        </w:tabs>
        <w:adjustRightInd w:val="0"/>
        <w:snapToGrid w:val="0"/>
        <w:spacing w:before="156" w:beforeLines="50"/>
        <w:jc w:val="lef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附件2</w:t>
      </w:r>
    </w:p>
    <w:p>
      <w:pPr>
        <w:widowControl/>
        <w:spacing w:after="156" w:afterLines="50"/>
        <w:jc w:val="center"/>
        <w:rPr>
          <w:rFonts w:ascii="黑体" w:hAnsi="宋体" w:eastAsia="黑体" w:cs="宋体"/>
          <w:color w:val="000000"/>
          <w:kern w:val="0"/>
          <w:sz w:val="32"/>
          <w:szCs w:val="32"/>
        </w:rPr>
      </w:pPr>
      <w:r>
        <w:rPr>
          <w:rFonts w:hint="eastAsia" w:ascii="黑体" w:hAnsi="宋体" w:eastAsia="黑体" w:cs="宋体"/>
          <w:b/>
          <w:bCs/>
          <w:color w:val="000000"/>
          <w:kern w:val="0"/>
          <w:sz w:val="32"/>
          <w:szCs w:val="32"/>
        </w:rPr>
        <w:t>内江师范学院新增学科竞赛项目申请表</w:t>
      </w:r>
    </w:p>
    <w:p>
      <w:pPr>
        <w:widowControl/>
        <w:snapToGrid w:val="0"/>
        <w:spacing w:line="400" w:lineRule="exact"/>
        <w:jc w:val="left"/>
        <w:rPr>
          <w:rFonts w:ascii="宋体" w:hAnsi="宋体" w:cs="宋体"/>
          <w:color w:val="000000"/>
          <w:kern w:val="0"/>
          <w:sz w:val="24"/>
        </w:rPr>
      </w:pPr>
      <w:r>
        <w:rPr>
          <w:rFonts w:hint="eastAsia" w:ascii="仿宋_GB2312" w:hAnsi="宋体" w:eastAsia="仿宋_GB2312" w:cs="宋体"/>
          <w:color w:val="000000"/>
          <w:kern w:val="0"/>
          <w:sz w:val="24"/>
        </w:rPr>
        <w:t>二级学院（部门）：</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r>
        <w:rPr>
          <w:rFonts w:hint="eastAsia" w:ascii="仿宋_GB2312" w:hAnsi="宋体" w:eastAsia="仿宋_GB2312" w:cs="宋体"/>
          <w:color w:val="000000"/>
          <w:kern w:val="0"/>
          <w:sz w:val="24"/>
        </w:rPr>
        <w:t>参赛对象：</w:t>
      </w:r>
      <w:r>
        <w:rPr>
          <w:rFonts w:hint="eastAsia" w:ascii="宋体" w:hAnsi="宋体" w:cs="宋体"/>
          <w:color w:val="000000"/>
          <w:kern w:val="0"/>
          <w:sz w:val="24"/>
          <w:u w:val="single"/>
        </w:rPr>
        <w:t xml:space="preserve">            </w:t>
      </w:r>
    </w:p>
    <w:tbl>
      <w:tblPr>
        <w:tblStyle w:val="15"/>
        <w:tblW w:w="9109" w:type="dxa"/>
        <w:jc w:val="center"/>
        <w:tblInd w:w="0" w:type="dxa"/>
        <w:tblLayout w:type="fixed"/>
        <w:tblCellMar>
          <w:top w:w="0" w:type="dxa"/>
          <w:left w:w="0" w:type="dxa"/>
          <w:bottom w:w="0" w:type="dxa"/>
          <w:right w:w="0" w:type="dxa"/>
        </w:tblCellMar>
      </w:tblPr>
      <w:tblGrid>
        <w:gridCol w:w="2232"/>
        <w:gridCol w:w="847"/>
        <w:gridCol w:w="1134"/>
        <w:gridCol w:w="648"/>
        <w:gridCol w:w="206"/>
        <w:gridCol w:w="1272"/>
        <w:gridCol w:w="497"/>
        <w:gridCol w:w="924"/>
        <w:gridCol w:w="1349"/>
      </w:tblGrid>
      <w:tr>
        <w:tblPrEx>
          <w:tblLayout w:type="fixed"/>
          <w:tblCellMar>
            <w:top w:w="0" w:type="dxa"/>
            <w:left w:w="0" w:type="dxa"/>
            <w:bottom w:w="0" w:type="dxa"/>
            <w:right w:w="0" w:type="dxa"/>
          </w:tblCellMar>
        </w:tblPrEx>
        <w:trPr>
          <w:trHeight w:val="567" w:hRule="atLeast"/>
          <w:jc w:val="center"/>
        </w:trPr>
        <w:tc>
          <w:tcPr>
            <w:tcW w:w="223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ind w:left="210" w:hanging="210" w:hangingChars="100"/>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竞赛名称</w:t>
            </w:r>
          </w:p>
        </w:tc>
        <w:tc>
          <w:tcPr>
            <w:tcW w:w="2629"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c>
          <w:tcPr>
            <w:tcW w:w="197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竞赛决赛时间</w:t>
            </w:r>
          </w:p>
        </w:tc>
        <w:tc>
          <w:tcPr>
            <w:tcW w:w="2273" w:type="dxa"/>
            <w:gridSpan w:val="2"/>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r>
      <w:tr>
        <w:tblPrEx>
          <w:tblLayout w:type="fixed"/>
          <w:tblCellMar>
            <w:top w:w="0" w:type="dxa"/>
            <w:left w:w="0" w:type="dxa"/>
            <w:bottom w:w="0" w:type="dxa"/>
            <w:right w:w="0" w:type="dxa"/>
          </w:tblCellMar>
        </w:tblPrEx>
        <w:trPr>
          <w:trHeight w:val="567"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竞赛主办单位</w:t>
            </w:r>
          </w:p>
        </w:tc>
        <w:tc>
          <w:tcPr>
            <w:tcW w:w="2629"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c>
          <w:tcPr>
            <w:tcW w:w="197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竞赛承办单位</w:t>
            </w:r>
          </w:p>
        </w:tc>
        <w:tc>
          <w:tcPr>
            <w:tcW w:w="2273"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r>
      <w:tr>
        <w:tblPrEx>
          <w:tblLayout w:type="fixed"/>
          <w:tblCellMar>
            <w:top w:w="0" w:type="dxa"/>
            <w:left w:w="0" w:type="dxa"/>
            <w:bottom w:w="0" w:type="dxa"/>
            <w:right w:w="0" w:type="dxa"/>
          </w:tblCellMar>
        </w:tblPrEx>
        <w:trPr>
          <w:trHeight w:val="567"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竞赛面向专业</w:t>
            </w:r>
          </w:p>
        </w:tc>
        <w:tc>
          <w:tcPr>
            <w:tcW w:w="2629"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c>
          <w:tcPr>
            <w:tcW w:w="197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参赛队数（预计）</w:t>
            </w:r>
          </w:p>
        </w:tc>
        <w:tc>
          <w:tcPr>
            <w:tcW w:w="2273"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      队</w:t>
            </w:r>
          </w:p>
        </w:tc>
      </w:tr>
      <w:tr>
        <w:tblPrEx>
          <w:tblLayout w:type="fixed"/>
          <w:tblCellMar>
            <w:top w:w="0" w:type="dxa"/>
            <w:left w:w="0" w:type="dxa"/>
            <w:bottom w:w="0" w:type="dxa"/>
            <w:right w:w="0" w:type="dxa"/>
          </w:tblCellMar>
        </w:tblPrEx>
        <w:trPr>
          <w:trHeight w:val="655"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竞赛奖项设置</w:t>
            </w:r>
          </w:p>
        </w:tc>
        <w:tc>
          <w:tcPr>
            <w:tcW w:w="2629"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c>
          <w:tcPr>
            <w:tcW w:w="197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竞赛项目负责人及联系方式</w:t>
            </w:r>
          </w:p>
        </w:tc>
        <w:tc>
          <w:tcPr>
            <w:tcW w:w="2273"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r>
      <w:tr>
        <w:tblPrEx>
          <w:tblLayout w:type="fixed"/>
          <w:tblCellMar>
            <w:top w:w="0" w:type="dxa"/>
            <w:left w:w="0" w:type="dxa"/>
            <w:bottom w:w="0" w:type="dxa"/>
            <w:right w:w="0" w:type="dxa"/>
          </w:tblCellMar>
        </w:tblPrEx>
        <w:trPr>
          <w:trHeight w:val="742"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是否替换学校已认定的竞赛项目</w:t>
            </w:r>
          </w:p>
        </w:tc>
        <w:tc>
          <w:tcPr>
            <w:tcW w:w="6877" w:type="dxa"/>
            <w:gridSpan w:val="8"/>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napToGrid w:val="0"/>
              <w:spacing w:line="400" w:lineRule="exact"/>
              <w:ind w:firstLine="329"/>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 xml:space="preserve">□是（替换的竞赛项目名称为）：               </w:t>
            </w:r>
          </w:p>
          <w:p>
            <w:pPr>
              <w:widowControl/>
              <w:snapToGrid w:val="0"/>
              <w:spacing w:line="400" w:lineRule="exact"/>
              <w:ind w:firstLine="329"/>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□否</w:t>
            </w:r>
          </w:p>
        </w:tc>
      </w:tr>
      <w:tr>
        <w:tblPrEx>
          <w:tblLayout w:type="fixed"/>
          <w:tblCellMar>
            <w:top w:w="0" w:type="dxa"/>
            <w:left w:w="0" w:type="dxa"/>
            <w:bottom w:w="0" w:type="dxa"/>
            <w:right w:w="0" w:type="dxa"/>
          </w:tblCellMar>
        </w:tblPrEx>
        <w:trPr>
          <w:trHeight w:val="1618"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竞赛目的及主要内容</w:t>
            </w:r>
          </w:p>
        </w:tc>
        <w:tc>
          <w:tcPr>
            <w:tcW w:w="6877" w:type="dxa"/>
            <w:gridSpan w:val="8"/>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MS Mincho" w:hAnsi="MS Mincho" w:eastAsia="MS Mincho" w:cs="MS Mincho"/>
                <w:color w:val="000000"/>
                <w:kern w:val="0"/>
                <w:szCs w:val="21"/>
              </w:rPr>
              <w:t>​</w:t>
            </w:r>
          </w:p>
        </w:tc>
      </w:tr>
      <w:tr>
        <w:tblPrEx>
          <w:tblLayout w:type="fixed"/>
          <w:tblCellMar>
            <w:top w:w="0" w:type="dxa"/>
            <w:left w:w="0" w:type="dxa"/>
            <w:bottom w:w="0" w:type="dxa"/>
            <w:right w:w="0" w:type="dxa"/>
          </w:tblCellMar>
        </w:tblPrEx>
        <w:trPr>
          <w:trHeight w:val="1382"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预期成效（获奖情况）</w:t>
            </w:r>
          </w:p>
        </w:tc>
        <w:tc>
          <w:tcPr>
            <w:tcW w:w="6877" w:type="dxa"/>
            <w:gridSpan w:val="8"/>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p>
        </w:tc>
      </w:tr>
      <w:tr>
        <w:tblPrEx>
          <w:tblLayout w:type="fixed"/>
          <w:tblCellMar>
            <w:top w:w="0" w:type="dxa"/>
            <w:left w:w="0" w:type="dxa"/>
            <w:bottom w:w="0" w:type="dxa"/>
            <w:right w:w="0" w:type="dxa"/>
          </w:tblCellMar>
        </w:tblPrEx>
        <w:trPr>
          <w:trHeight w:val="567" w:hRule="atLeast"/>
          <w:jc w:val="center"/>
        </w:trPr>
        <w:tc>
          <w:tcPr>
            <w:tcW w:w="2232"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经费预算</w:t>
            </w:r>
          </w:p>
        </w:tc>
        <w:tc>
          <w:tcPr>
            <w:tcW w:w="84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参赛报名  费</w:t>
            </w:r>
          </w:p>
        </w:tc>
        <w:tc>
          <w:tcPr>
            <w:tcW w:w="11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    元</w:t>
            </w:r>
          </w:p>
        </w:tc>
        <w:tc>
          <w:tcPr>
            <w:tcW w:w="854"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lef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竞赛差旅  费</w:t>
            </w:r>
          </w:p>
        </w:tc>
        <w:tc>
          <w:tcPr>
            <w:tcW w:w="1272" w:type="dxa"/>
            <w:tcBorders>
              <w:top w:val="nil"/>
              <w:left w:val="nil"/>
              <w:bottom w:val="single" w:color="000000" w:sz="6" w:space="0"/>
              <w:right w:val="single" w:color="auto" w:sz="4" w:space="0"/>
            </w:tcBorders>
            <w:tcMar>
              <w:top w:w="0" w:type="dxa"/>
              <w:left w:w="105" w:type="dxa"/>
              <w:bottom w:w="0" w:type="dxa"/>
              <w:right w:w="105" w:type="dxa"/>
            </w:tcMar>
            <w:vAlign w:val="center"/>
          </w:tcPr>
          <w:p>
            <w:pPr>
              <w:widowControl/>
              <w:spacing w:line="400" w:lineRule="exact"/>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元</w:t>
            </w:r>
          </w:p>
        </w:tc>
        <w:tc>
          <w:tcPr>
            <w:tcW w:w="1421" w:type="dxa"/>
            <w:gridSpan w:val="2"/>
            <w:tcBorders>
              <w:top w:val="nil"/>
              <w:left w:val="single" w:color="auto" w:sz="4" w:space="0"/>
              <w:bottom w:val="single" w:color="000000" w:sz="6" w:space="0"/>
              <w:right w:val="single" w:color="auto" w:sz="4" w:space="0"/>
            </w:tcBorders>
            <w:vAlign w:val="center"/>
          </w:tcPr>
          <w:p>
            <w:pPr>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其它费用（资料费、材料费等）</w:t>
            </w:r>
          </w:p>
        </w:tc>
        <w:tc>
          <w:tcPr>
            <w:tcW w:w="1349" w:type="dxa"/>
            <w:tcBorders>
              <w:top w:val="nil"/>
              <w:left w:val="single" w:color="auto" w:sz="4" w:space="0"/>
              <w:bottom w:val="single" w:color="000000" w:sz="6" w:space="0"/>
              <w:right w:val="single" w:color="000000" w:sz="6" w:space="0"/>
            </w:tcBorders>
            <w:vAlign w:val="center"/>
          </w:tcPr>
          <w:p>
            <w:pPr>
              <w:spacing w:line="400" w:lineRule="exact"/>
              <w:ind w:left="27"/>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元</w:t>
            </w:r>
          </w:p>
        </w:tc>
      </w:tr>
      <w:tr>
        <w:tblPrEx>
          <w:tblLayout w:type="fixed"/>
          <w:tblCellMar>
            <w:top w:w="0" w:type="dxa"/>
            <w:left w:w="0" w:type="dxa"/>
            <w:bottom w:w="0" w:type="dxa"/>
            <w:right w:w="0" w:type="dxa"/>
          </w:tblCellMar>
        </w:tblPrEx>
        <w:trPr>
          <w:trHeight w:val="567" w:hRule="atLeast"/>
          <w:jc w:val="center"/>
        </w:trPr>
        <w:tc>
          <w:tcPr>
            <w:tcW w:w="2232" w:type="dxa"/>
            <w:vMerge w:val="continue"/>
            <w:tcBorders>
              <w:top w:val="nil"/>
              <w:left w:val="single" w:color="000000" w:sz="6" w:space="0"/>
              <w:bottom w:val="single" w:color="000000" w:sz="6" w:space="0"/>
              <w:right w:val="single" w:color="000000" w:sz="6" w:space="0"/>
            </w:tcBorders>
            <w:vAlign w:val="center"/>
          </w:tcPr>
          <w:p>
            <w:pPr>
              <w:widowControl/>
              <w:spacing w:line="400" w:lineRule="exact"/>
              <w:jc w:val="left"/>
              <w:rPr>
                <w:rFonts w:ascii="方正仿宋简体" w:hAnsi="宋体" w:eastAsia="方正仿宋简体" w:cs="宋体"/>
                <w:color w:val="000000"/>
                <w:kern w:val="0"/>
                <w:szCs w:val="21"/>
              </w:rPr>
            </w:pPr>
          </w:p>
        </w:tc>
        <w:tc>
          <w:tcPr>
            <w:tcW w:w="5528" w:type="dxa"/>
            <w:gridSpan w:val="7"/>
            <w:tcBorders>
              <w:top w:val="nil"/>
              <w:left w:val="nil"/>
              <w:bottom w:val="single" w:color="000000" w:sz="6" w:space="0"/>
              <w:right w:val="single" w:color="auto" w:sz="4"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以上合计:</w:t>
            </w:r>
          </w:p>
        </w:tc>
        <w:tc>
          <w:tcPr>
            <w:tcW w:w="1349" w:type="dxa"/>
            <w:tcBorders>
              <w:top w:val="nil"/>
              <w:left w:val="single" w:color="auto" w:sz="4" w:space="0"/>
              <w:bottom w:val="single" w:color="000000" w:sz="6" w:space="0"/>
              <w:right w:val="single" w:color="000000" w:sz="6" w:space="0"/>
            </w:tcBorders>
            <w:vAlign w:val="center"/>
          </w:tcPr>
          <w:p>
            <w:pPr>
              <w:spacing w:line="400" w:lineRule="exact"/>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    元</w:t>
            </w:r>
          </w:p>
        </w:tc>
      </w:tr>
      <w:tr>
        <w:tblPrEx>
          <w:tblLayout w:type="fixed"/>
          <w:tblCellMar>
            <w:top w:w="0" w:type="dxa"/>
            <w:left w:w="0" w:type="dxa"/>
            <w:bottom w:w="0" w:type="dxa"/>
            <w:right w:w="0" w:type="dxa"/>
          </w:tblCellMar>
        </w:tblPrEx>
        <w:trPr>
          <w:trHeight w:val="1368"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申请单位意见</w:t>
            </w:r>
          </w:p>
        </w:tc>
        <w:tc>
          <w:tcPr>
            <w:tcW w:w="6877" w:type="dxa"/>
            <w:gridSpan w:val="8"/>
            <w:tcBorders>
              <w:top w:val="nil"/>
              <w:left w:val="nil"/>
              <w:bottom w:val="single" w:color="000000" w:sz="6" w:space="0"/>
              <w:right w:val="single" w:color="000000" w:sz="6" w:space="0"/>
            </w:tcBorders>
            <w:tcMar>
              <w:top w:w="0" w:type="dxa"/>
              <w:left w:w="105" w:type="dxa"/>
              <w:bottom w:w="0" w:type="dxa"/>
              <w:right w:w="105" w:type="dxa"/>
            </w:tcMar>
            <w:vAlign w:val="bottom"/>
          </w:tcPr>
          <w:p>
            <w:pPr>
              <w:widowControl/>
              <w:spacing w:line="400" w:lineRule="exact"/>
              <w:ind w:left="346"/>
              <w:jc w:val="right"/>
              <w:rPr>
                <w:rFonts w:ascii="方正仿宋简体" w:hAnsi="宋体" w:eastAsia="方正仿宋简体" w:cs="宋体"/>
                <w:color w:val="000000"/>
                <w:kern w:val="0"/>
                <w:szCs w:val="21"/>
              </w:rPr>
            </w:pPr>
          </w:p>
          <w:p>
            <w:pPr>
              <w:widowControl/>
              <w:spacing w:line="400" w:lineRule="exact"/>
              <w:ind w:left="346"/>
              <w:jc w:val="right"/>
              <w:rPr>
                <w:rFonts w:ascii="方正仿宋简体" w:hAnsi="宋体" w:eastAsia="方正仿宋简体" w:cs="宋体"/>
                <w:color w:val="000000"/>
                <w:kern w:val="0"/>
                <w:szCs w:val="21"/>
              </w:rPr>
            </w:pPr>
          </w:p>
          <w:p>
            <w:pPr>
              <w:widowControl/>
              <w:spacing w:line="400" w:lineRule="exact"/>
              <w:ind w:left="346" w:leftChars="165" w:firstLine="2205" w:firstLineChars="1050"/>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负责人签字（盖章）：            </w:t>
            </w:r>
          </w:p>
          <w:p>
            <w:pPr>
              <w:widowControl/>
              <w:spacing w:line="400" w:lineRule="exact"/>
              <w:ind w:left="346" w:leftChars="165" w:firstLine="1155" w:firstLineChars="550"/>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年   月  日</w:t>
            </w:r>
          </w:p>
        </w:tc>
      </w:tr>
      <w:tr>
        <w:tblPrEx>
          <w:tblLayout w:type="fixed"/>
          <w:tblCellMar>
            <w:top w:w="0" w:type="dxa"/>
            <w:left w:w="0" w:type="dxa"/>
            <w:bottom w:w="0" w:type="dxa"/>
            <w:right w:w="0" w:type="dxa"/>
          </w:tblCellMar>
        </w:tblPrEx>
        <w:trPr>
          <w:trHeight w:val="2148" w:hRule="atLeast"/>
          <w:jc w:val="center"/>
        </w:trPr>
        <w:tc>
          <w:tcPr>
            <w:tcW w:w="22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教务处意见</w:t>
            </w:r>
          </w:p>
        </w:tc>
        <w:tc>
          <w:tcPr>
            <w:tcW w:w="6877" w:type="dxa"/>
            <w:gridSpan w:val="8"/>
            <w:tcBorders>
              <w:top w:val="nil"/>
              <w:left w:val="nil"/>
              <w:bottom w:val="single" w:color="000000" w:sz="6" w:space="0"/>
              <w:right w:val="single" w:color="000000" w:sz="6" w:space="0"/>
            </w:tcBorders>
            <w:tcMar>
              <w:top w:w="0" w:type="dxa"/>
              <w:left w:w="105" w:type="dxa"/>
              <w:bottom w:w="0" w:type="dxa"/>
              <w:right w:w="105" w:type="dxa"/>
            </w:tcMar>
            <w:vAlign w:val="bottom"/>
          </w:tcPr>
          <w:p>
            <w:pPr>
              <w:widowControl/>
              <w:spacing w:line="400" w:lineRule="exact"/>
              <w:ind w:left="346"/>
              <w:jc w:val="right"/>
              <w:rPr>
                <w:rFonts w:ascii="方正仿宋简体" w:hAnsi="宋体" w:eastAsia="方正仿宋简体" w:cs="宋体"/>
                <w:color w:val="000000"/>
                <w:kern w:val="0"/>
                <w:szCs w:val="21"/>
              </w:rPr>
            </w:pPr>
          </w:p>
          <w:p>
            <w:pPr>
              <w:widowControl/>
              <w:spacing w:line="400" w:lineRule="exact"/>
              <w:ind w:left="346"/>
              <w:jc w:val="right"/>
              <w:rPr>
                <w:rFonts w:ascii="方正仿宋简体" w:hAnsi="宋体" w:eastAsia="方正仿宋简体" w:cs="宋体"/>
                <w:color w:val="000000"/>
                <w:kern w:val="0"/>
                <w:szCs w:val="21"/>
              </w:rPr>
            </w:pPr>
          </w:p>
          <w:p>
            <w:pPr>
              <w:widowControl/>
              <w:spacing w:line="400" w:lineRule="exact"/>
              <w:ind w:left="346" w:leftChars="165" w:firstLine="2205" w:firstLineChars="1050"/>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负责人签字（盖章）：            </w:t>
            </w:r>
          </w:p>
          <w:p>
            <w:pPr>
              <w:widowControl/>
              <w:spacing w:line="400" w:lineRule="exact"/>
              <w:ind w:left="346" w:leftChars="165" w:firstLine="1155" w:firstLineChars="550"/>
              <w:jc w:val="right"/>
              <w:rPr>
                <w:rFonts w:ascii="方正仿宋简体" w:hAnsi="宋体" w:eastAsia="方正仿宋简体" w:cs="宋体"/>
                <w:color w:val="000000"/>
                <w:kern w:val="0"/>
                <w:szCs w:val="21"/>
              </w:rPr>
            </w:pPr>
            <w:r>
              <w:rPr>
                <w:rFonts w:hint="eastAsia" w:ascii="方正仿宋简体" w:hAnsi="宋体" w:eastAsia="方正仿宋简体" w:cs="宋体"/>
                <w:color w:val="000000"/>
                <w:kern w:val="0"/>
                <w:szCs w:val="21"/>
              </w:rPr>
              <w:t>年   月  日</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jc w:val="center"/>
        <w:rPr>
          <w:rFonts w:ascii="宋体" w:hAnsi="宋体" w:cs="宋体"/>
          <w:b/>
          <w:bCs/>
          <w:kern w:val="0"/>
          <w:sz w:val="32"/>
          <w:szCs w:val="32"/>
        </w:rPr>
      </w:pPr>
      <w:r>
        <w:rPr>
          <w:rFonts w:hint="eastAsia" w:ascii="宋体" w:hAnsi="宋体" w:cs="宋体"/>
          <w:b/>
          <w:bCs/>
          <w:kern w:val="0"/>
          <w:sz w:val="32"/>
          <w:szCs w:val="32"/>
        </w:rPr>
        <w:t>内江师范学院</w:t>
      </w:r>
    </w:p>
    <w:p>
      <w:pPr>
        <w:widowControl/>
        <w:spacing w:line="560" w:lineRule="exact"/>
        <w:jc w:val="center"/>
        <w:rPr>
          <w:rFonts w:ascii="宋体" w:hAnsi="宋体" w:cs="宋体"/>
          <w:b/>
          <w:bCs/>
          <w:kern w:val="0"/>
          <w:sz w:val="32"/>
          <w:szCs w:val="32"/>
        </w:rPr>
      </w:pPr>
      <w:r>
        <w:rPr>
          <w:rFonts w:hint="eastAsia" w:ascii="宋体" w:hAnsi="宋体" w:cs="宋体"/>
          <w:b/>
          <w:bCs/>
          <w:kern w:val="0"/>
          <w:sz w:val="32"/>
          <w:szCs w:val="32"/>
        </w:rPr>
        <w:t>大学生创新创业训练计划项目管理办法（修订）</w:t>
      </w:r>
    </w:p>
    <w:p>
      <w:pPr>
        <w:widowControl/>
        <w:spacing w:line="560" w:lineRule="exact"/>
        <w:jc w:val="center"/>
        <w:rPr>
          <w:rFonts w:ascii="宋体" w:hAnsi="宋体" w:cs="宋体"/>
          <w:b/>
          <w:bCs/>
          <w:kern w:val="0"/>
          <w:sz w:val="28"/>
          <w:szCs w:val="28"/>
        </w:rPr>
      </w:pPr>
      <w:r>
        <w:rPr>
          <w:rFonts w:hint="eastAsia" w:ascii="宋体" w:hAnsi="宋体" w:cs="宋体"/>
          <w:b/>
          <w:bCs/>
          <w:kern w:val="0"/>
          <w:sz w:val="28"/>
          <w:szCs w:val="28"/>
        </w:rPr>
        <w:t>内师教字</w:t>
      </w:r>
      <w:r>
        <w:rPr>
          <w:rFonts w:hint="eastAsia" w:asciiTheme="minorEastAsia" w:hAnsiTheme="minorEastAsia"/>
          <w:b/>
          <w:color w:val="000000"/>
          <w:sz w:val="28"/>
          <w:szCs w:val="28"/>
        </w:rPr>
        <w:t>〔</w:t>
      </w:r>
      <w:r>
        <w:rPr>
          <w:rFonts w:asciiTheme="minorEastAsia" w:hAnsiTheme="minorEastAsia"/>
          <w:b/>
          <w:color w:val="000000"/>
          <w:sz w:val="28"/>
          <w:szCs w:val="28"/>
        </w:rPr>
        <w:t>2015〕</w:t>
      </w:r>
      <w:r>
        <w:rPr>
          <w:rFonts w:hint="eastAsia" w:ascii="宋体" w:hAnsi="宋体" w:cs="宋体"/>
          <w:b/>
          <w:bCs/>
          <w:kern w:val="0"/>
          <w:sz w:val="28"/>
          <w:szCs w:val="28"/>
        </w:rPr>
        <w:t>67号</w:t>
      </w:r>
    </w:p>
    <w:p>
      <w:pPr>
        <w:widowControl/>
        <w:spacing w:line="560" w:lineRule="exact"/>
        <w:jc w:val="center"/>
        <w:rPr>
          <w:rFonts w:ascii="宋体" w:hAnsi="宋体" w:cs="宋体"/>
          <w:kern w:val="0"/>
          <w:sz w:val="28"/>
          <w:szCs w:val="28"/>
        </w:rPr>
      </w:pPr>
    </w:p>
    <w:p>
      <w:pPr>
        <w:widowControl/>
        <w:spacing w:line="360" w:lineRule="auto"/>
        <w:jc w:val="center"/>
        <w:rPr>
          <w:rFonts w:ascii="宋体" w:hAnsi="宋体" w:cs="宋体"/>
          <w:b/>
          <w:kern w:val="0"/>
          <w:sz w:val="24"/>
        </w:rPr>
      </w:pPr>
      <w:r>
        <w:rPr>
          <w:rFonts w:hint="eastAsia" w:ascii="宋体" w:hAnsi="宋体" w:cs="宋体"/>
          <w:b/>
          <w:kern w:val="0"/>
          <w:sz w:val="24"/>
        </w:rPr>
        <w:t>第一章  总 则</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 xml:space="preserve">第一条  </w:t>
      </w:r>
      <w:r>
        <w:rPr>
          <w:rFonts w:hint="eastAsia" w:ascii="宋体" w:hAnsi="宋体"/>
          <w:kern w:val="13"/>
          <w:sz w:val="24"/>
        </w:rPr>
        <w:t>为全面</w:t>
      </w:r>
      <w:r>
        <w:rPr>
          <w:rFonts w:hint="eastAsia" w:ascii="宋体" w:hAnsi="宋体"/>
          <w:sz w:val="24"/>
        </w:rPr>
        <w:t>贯彻落实《教育部 财政部关于“十二五”期间实施“高等学校本科教学质量与教学改革工程”的意见》（教高〔2011〕6号）、《教育部等部门关于进一步加强高校实践育人工作的若干意见》（教思政〔2012〕1号）、教育部《关于做好“本科教学工程”国家级大学生创新创业训练计划实施工作的通知》（教高函〔2012〕5号）等文件精神，加强大学生创新创业教育，强化创新创业能力训练，培养适应各行各业发展需要的创新创业型人才，就我校大学生开展创新创业训练计划制定以下管理办法。</w:t>
      </w:r>
    </w:p>
    <w:p>
      <w:pPr>
        <w:widowControl/>
        <w:spacing w:line="360" w:lineRule="auto"/>
        <w:jc w:val="center"/>
        <w:rPr>
          <w:rFonts w:ascii="宋体" w:hAnsi="宋体" w:cs="宋体"/>
          <w:b/>
          <w:kern w:val="0"/>
          <w:sz w:val="24"/>
        </w:rPr>
      </w:pPr>
      <w:r>
        <w:rPr>
          <w:rFonts w:hint="eastAsia" w:ascii="宋体" w:hAnsi="宋体" w:cs="宋体"/>
          <w:b/>
          <w:kern w:val="0"/>
          <w:sz w:val="24"/>
        </w:rPr>
        <w:t>第二章 项目内容</w:t>
      </w:r>
    </w:p>
    <w:p>
      <w:pPr>
        <w:widowControl/>
        <w:spacing w:line="360" w:lineRule="auto"/>
        <w:ind w:firstLine="480" w:firstLineChars="200"/>
        <w:rPr>
          <w:rFonts w:ascii="宋体" w:hAnsi="宋体" w:cs="宋体"/>
          <w:kern w:val="0"/>
          <w:sz w:val="24"/>
        </w:rPr>
      </w:pPr>
      <w:r>
        <w:rPr>
          <w:rFonts w:hint="eastAsia" w:ascii="宋体" w:hAnsi="宋体"/>
          <w:kern w:val="13"/>
          <w:sz w:val="24"/>
        </w:rPr>
        <w:t xml:space="preserve">第二条  </w:t>
      </w:r>
      <w:r>
        <w:rPr>
          <w:rFonts w:hint="eastAsia" w:ascii="宋体" w:hAnsi="宋体" w:cs="宋体"/>
          <w:kern w:val="0"/>
          <w:sz w:val="24"/>
        </w:rPr>
        <w:t>大学生创新创业训练计划内容包括创新训练计划项目、创业训练计划项目和创业实践项目三类。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1.创新训练计划项目是本科生个人或团队，在导师指导下，自主完成创新性研究项目设计、研究条件准备和项目实施、研究报告撰写、成果（学术）交流等工作。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2.创业训练计划项目是本科生团队，在导师指导下，团队中每个学生在项目实施过程中扮演一个或多个具体的角色，通过编制商业计划书、开展可行性研究、模拟企业运行、参加企业实践、撰写创业报告等工作。</w:t>
      </w:r>
    </w:p>
    <w:p>
      <w:pPr>
        <w:spacing w:line="360" w:lineRule="auto"/>
        <w:ind w:firstLine="480" w:firstLineChars="200"/>
        <w:rPr>
          <w:rFonts w:ascii="宋体" w:hAnsi="宋体" w:cs="宋体"/>
          <w:kern w:val="0"/>
          <w:sz w:val="24"/>
        </w:rPr>
      </w:pPr>
      <w:r>
        <w:rPr>
          <w:rFonts w:hint="eastAsia" w:ascii="宋体" w:hAnsi="宋体" w:cs="宋体"/>
          <w:kern w:val="0"/>
          <w:sz w:val="24"/>
        </w:rPr>
        <w:t>3.创业实践项目是学生团队，在学校导师和企业导师共同指导下，采用前期创新、创业训练项目的成果，提出一项具有市场前景的创新性产品或者服务，以此为基础开展创业实践活动。</w:t>
      </w:r>
    </w:p>
    <w:p>
      <w:pPr>
        <w:widowControl/>
        <w:spacing w:line="360" w:lineRule="auto"/>
        <w:jc w:val="center"/>
        <w:rPr>
          <w:rFonts w:ascii="宋体" w:hAnsi="宋体" w:cs="宋体"/>
          <w:b/>
          <w:kern w:val="0"/>
          <w:sz w:val="24"/>
        </w:rPr>
      </w:pPr>
      <w:r>
        <w:rPr>
          <w:rFonts w:hint="eastAsia" w:ascii="宋体" w:hAnsi="宋体" w:cs="宋体"/>
          <w:b/>
          <w:kern w:val="0"/>
          <w:sz w:val="24"/>
        </w:rPr>
        <w:t>第三章  项目申报</w:t>
      </w:r>
    </w:p>
    <w:p>
      <w:pPr>
        <w:widowControl/>
        <w:spacing w:line="360" w:lineRule="auto"/>
        <w:ind w:firstLine="480" w:firstLineChars="200"/>
        <w:rPr>
          <w:rFonts w:ascii="宋体" w:hAnsi="宋体"/>
          <w:sz w:val="24"/>
        </w:rPr>
      </w:pPr>
      <w:r>
        <w:rPr>
          <w:rFonts w:hint="eastAsia" w:ascii="宋体" w:hAnsi="宋体"/>
          <w:sz w:val="24"/>
        </w:rPr>
        <w:t>第三条  项目申报面向在校全日制本科学生。鼓励学生团队申报。</w:t>
      </w:r>
    </w:p>
    <w:p>
      <w:pPr>
        <w:widowControl/>
        <w:spacing w:line="360" w:lineRule="auto"/>
        <w:ind w:firstLine="480" w:firstLineChars="200"/>
        <w:rPr>
          <w:rFonts w:ascii="宋体" w:hAnsi="宋体"/>
          <w:sz w:val="24"/>
        </w:rPr>
      </w:pPr>
      <w:r>
        <w:rPr>
          <w:rFonts w:hint="eastAsia" w:ascii="宋体" w:hAnsi="宋体"/>
          <w:sz w:val="24"/>
        </w:rPr>
        <w:t>1.申报者必须身体健康、品学兼优、学有余力、有较强的独立思考能力、创新意识和探索精神，对科学研究、科技活动或社会实践有浓厚的兴趣，并具有较强的组织协调能力。</w:t>
      </w:r>
    </w:p>
    <w:p>
      <w:pPr>
        <w:widowControl/>
        <w:spacing w:line="360" w:lineRule="auto"/>
        <w:ind w:firstLine="480" w:firstLineChars="200"/>
        <w:rPr>
          <w:rFonts w:ascii="宋体" w:hAnsi="宋体"/>
          <w:sz w:val="24"/>
        </w:rPr>
      </w:pPr>
      <w:r>
        <w:rPr>
          <w:rFonts w:hint="eastAsia" w:ascii="宋体" w:hAnsi="宋体"/>
          <w:sz w:val="24"/>
        </w:rPr>
        <w:t>2.创新训练计划项目可以个人或团队申报；创业训练计划项目、创业实践项目仅限团队申报。同等条件下优先资助团队合作项目和跨年级、跨专业、跨学科合作项目。</w:t>
      </w:r>
    </w:p>
    <w:p>
      <w:pPr>
        <w:widowControl/>
        <w:spacing w:line="360" w:lineRule="auto"/>
        <w:ind w:firstLine="480" w:firstLineChars="200"/>
        <w:rPr>
          <w:rFonts w:ascii="宋体" w:hAnsi="宋体"/>
          <w:sz w:val="24"/>
        </w:rPr>
      </w:pPr>
      <w:r>
        <w:rPr>
          <w:rFonts w:hint="eastAsia" w:ascii="宋体" w:hAnsi="宋体"/>
          <w:sz w:val="24"/>
        </w:rPr>
        <w:t>第四条  项目负责人填写《内江师范学院大学生创新创业训练计划项目申报书》。</w:t>
      </w:r>
    </w:p>
    <w:p>
      <w:pPr>
        <w:widowControl/>
        <w:spacing w:line="360" w:lineRule="auto"/>
        <w:ind w:firstLine="480" w:firstLineChars="200"/>
        <w:rPr>
          <w:rFonts w:ascii="宋体" w:hAnsi="宋体"/>
          <w:sz w:val="24"/>
        </w:rPr>
      </w:pPr>
      <w:r>
        <w:rPr>
          <w:rFonts w:hint="eastAsia" w:ascii="宋体" w:hAnsi="宋体"/>
          <w:sz w:val="24"/>
        </w:rPr>
        <w:t>第五条  项目负责人限申报1项，每人参与项目不超过两项。尚未结题项目的负责人不得申报。</w:t>
      </w:r>
    </w:p>
    <w:p>
      <w:pPr>
        <w:widowControl/>
        <w:spacing w:line="360" w:lineRule="auto"/>
        <w:ind w:firstLine="480" w:firstLineChars="200"/>
        <w:rPr>
          <w:rFonts w:ascii="宋体" w:hAnsi="宋体"/>
          <w:sz w:val="24"/>
        </w:rPr>
      </w:pPr>
      <w:r>
        <w:rPr>
          <w:rFonts w:hint="eastAsia" w:ascii="宋体" w:hAnsi="宋体"/>
          <w:sz w:val="24"/>
        </w:rPr>
        <w:t>第六条  创新创业训练计划项目指导教师原则上需具备中级及以上职称或具有硕士及以上学位。如</w:t>
      </w:r>
      <w:r>
        <w:rPr>
          <w:rFonts w:hint="eastAsia" w:ascii="宋体" w:hAnsi="宋体"/>
          <w:kern w:val="13"/>
          <w:sz w:val="24"/>
        </w:rPr>
        <w:t>聘请校外专家担任指导教师，须配备校内导师负责日常管理与协助指导工作。</w:t>
      </w:r>
    </w:p>
    <w:p>
      <w:pPr>
        <w:widowControl/>
        <w:spacing w:line="360" w:lineRule="auto"/>
        <w:ind w:firstLine="480" w:firstLineChars="200"/>
        <w:rPr>
          <w:rFonts w:ascii="宋体" w:hAnsi="宋体"/>
          <w:sz w:val="24"/>
        </w:rPr>
      </w:pPr>
      <w:r>
        <w:rPr>
          <w:rFonts w:hint="eastAsia" w:ascii="宋体" w:hAnsi="宋体"/>
          <w:sz w:val="24"/>
        </w:rPr>
        <w:t>第七条  创新训练计划项目建设周期为1年，创业训练计划项目建设周期1</w:t>
      </w:r>
      <w:r>
        <w:rPr>
          <w:rFonts w:ascii="宋体" w:hAnsi="宋体"/>
          <w:sz w:val="24"/>
        </w:rPr>
        <w:t>~</w:t>
      </w:r>
      <w:r>
        <w:rPr>
          <w:rFonts w:hint="eastAsia" w:ascii="宋体" w:hAnsi="宋体"/>
          <w:sz w:val="24"/>
        </w:rPr>
        <w:t>2年，创业实践项目建设周期1~3年。</w:t>
      </w:r>
    </w:p>
    <w:p>
      <w:pPr>
        <w:widowControl/>
        <w:spacing w:line="360" w:lineRule="auto"/>
        <w:jc w:val="center"/>
        <w:rPr>
          <w:rFonts w:ascii="宋体" w:hAnsi="宋体" w:cs="宋体"/>
          <w:b/>
          <w:kern w:val="0"/>
          <w:sz w:val="24"/>
        </w:rPr>
      </w:pPr>
      <w:r>
        <w:rPr>
          <w:rFonts w:hint="eastAsia" w:ascii="宋体" w:hAnsi="宋体" w:cs="宋体"/>
          <w:b/>
          <w:kern w:val="0"/>
          <w:sz w:val="24"/>
        </w:rPr>
        <w:t>第四章  组织机构</w:t>
      </w:r>
    </w:p>
    <w:p>
      <w:pPr>
        <w:adjustRightInd w:val="0"/>
        <w:snapToGrid w:val="0"/>
        <w:spacing w:line="360" w:lineRule="auto"/>
        <w:ind w:firstLine="480" w:firstLineChars="200"/>
        <w:rPr>
          <w:rFonts w:ascii="宋体" w:hAnsi="宋体"/>
          <w:kern w:val="13"/>
          <w:sz w:val="24"/>
        </w:rPr>
      </w:pPr>
      <w:r>
        <w:rPr>
          <w:rFonts w:hint="eastAsia" w:ascii="宋体" w:hAnsi="宋体"/>
          <w:sz w:val="24"/>
        </w:rPr>
        <w:t xml:space="preserve">第八条  </w:t>
      </w:r>
      <w:r>
        <w:rPr>
          <w:rFonts w:hint="eastAsia" w:ascii="宋体" w:hAnsi="宋体"/>
          <w:kern w:val="13"/>
          <w:sz w:val="24"/>
        </w:rPr>
        <w:t>学校成立“内江师范学院大学生创新创业训练计划领导小组”（以下称领导小组），负责研究、制定有关政策及组织协调工作。领导小组由分管教学副校长任组长，成员包括教务处、学生处、校团委、人事处、科技处、计划财务处、招就处、国有资产与实验设备管理处等部门的负责人。</w:t>
      </w:r>
    </w:p>
    <w:p>
      <w:pPr>
        <w:adjustRightInd w:val="0"/>
        <w:snapToGrid w:val="0"/>
        <w:spacing w:line="360" w:lineRule="auto"/>
        <w:ind w:firstLine="480" w:firstLineChars="200"/>
        <w:rPr>
          <w:rFonts w:ascii="宋体" w:hAnsi="宋体"/>
          <w:kern w:val="13"/>
          <w:sz w:val="24"/>
        </w:rPr>
      </w:pPr>
      <w:r>
        <w:rPr>
          <w:rFonts w:hint="eastAsia" w:ascii="宋体" w:hAnsi="宋体"/>
          <w:kern w:val="13"/>
          <w:sz w:val="24"/>
        </w:rPr>
        <w:t>第九条  领导小组下设秘书处，挂靠教务处。负责联系有关部门与教学单位开展项目实施的相关工作。</w:t>
      </w:r>
    </w:p>
    <w:p>
      <w:pPr>
        <w:adjustRightInd w:val="0"/>
        <w:snapToGrid w:val="0"/>
        <w:spacing w:line="360" w:lineRule="auto"/>
        <w:ind w:firstLine="480" w:firstLineChars="200"/>
        <w:rPr>
          <w:rFonts w:ascii="宋体" w:hAnsi="宋体"/>
          <w:kern w:val="13"/>
          <w:sz w:val="24"/>
        </w:rPr>
      </w:pPr>
      <w:r>
        <w:rPr>
          <w:rFonts w:hint="eastAsia" w:ascii="宋体" w:hAnsi="宋体"/>
          <w:kern w:val="13"/>
          <w:sz w:val="24"/>
        </w:rPr>
        <w:t>第十条  各教学单位成立工作小组，负责项目的初审、推荐与实施。</w:t>
      </w:r>
    </w:p>
    <w:p>
      <w:pPr>
        <w:widowControl/>
        <w:spacing w:line="360" w:lineRule="auto"/>
        <w:jc w:val="center"/>
        <w:rPr>
          <w:rFonts w:ascii="宋体" w:hAnsi="宋体" w:cs="宋体"/>
          <w:b/>
          <w:kern w:val="0"/>
          <w:sz w:val="24"/>
        </w:rPr>
      </w:pPr>
      <w:r>
        <w:rPr>
          <w:rFonts w:hint="eastAsia" w:ascii="宋体" w:hAnsi="宋体" w:cs="宋体"/>
          <w:b/>
          <w:kern w:val="0"/>
          <w:sz w:val="24"/>
        </w:rPr>
        <w:t>第五章  项目管理</w:t>
      </w:r>
    </w:p>
    <w:p>
      <w:pPr>
        <w:widowControl/>
        <w:spacing w:line="360" w:lineRule="auto"/>
        <w:ind w:firstLine="480" w:firstLineChars="200"/>
        <w:rPr>
          <w:rFonts w:ascii="宋体" w:hAnsi="宋体"/>
          <w:sz w:val="24"/>
        </w:rPr>
      </w:pPr>
      <w:r>
        <w:rPr>
          <w:rFonts w:hint="eastAsia" w:ascii="宋体" w:hAnsi="宋体"/>
          <w:sz w:val="24"/>
        </w:rPr>
        <w:t>第十一条  项目立项。</w:t>
      </w:r>
    </w:p>
    <w:p>
      <w:pPr>
        <w:widowControl/>
        <w:spacing w:line="360" w:lineRule="auto"/>
        <w:ind w:firstLine="480" w:firstLineChars="200"/>
        <w:rPr>
          <w:rFonts w:ascii="宋体" w:hAnsi="宋体"/>
          <w:sz w:val="24"/>
        </w:rPr>
      </w:pPr>
      <w:r>
        <w:rPr>
          <w:rFonts w:hint="eastAsia" w:ascii="宋体" w:hAnsi="宋体"/>
          <w:sz w:val="24"/>
        </w:rPr>
        <w:t>1.学校发布项目培育申报通知，阐明具体要求，各教学单位工作小组组织推荐立项，进行培育。</w:t>
      </w:r>
    </w:p>
    <w:p>
      <w:pPr>
        <w:widowControl/>
        <w:spacing w:line="360" w:lineRule="auto"/>
        <w:ind w:firstLine="480" w:firstLineChars="200"/>
        <w:rPr>
          <w:rFonts w:ascii="宋体" w:hAnsi="宋体"/>
          <w:sz w:val="24"/>
        </w:rPr>
      </w:pPr>
      <w:r>
        <w:rPr>
          <w:rFonts w:hint="eastAsia" w:ascii="宋体" w:hAnsi="宋体"/>
          <w:sz w:val="24"/>
        </w:rPr>
        <w:t>2.次年初各教学单位工作小组对前期培育项目进行遴选，确定本单位推荐项目。</w:t>
      </w:r>
    </w:p>
    <w:p>
      <w:pPr>
        <w:widowControl/>
        <w:spacing w:line="360" w:lineRule="auto"/>
        <w:ind w:firstLine="480" w:firstLineChars="200"/>
        <w:rPr>
          <w:rFonts w:ascii="宋体" w:hAnsi="宋体"/>
          <w:sz w:val="24"/>
        </w:rPr>
      </w:pPr>
      <w:r>
        <w:rPr>
          <w:rFonts w:hint="eastAsia" w:ascii="宋体" w:hAnsi="宋体"/>
          <w:sz w:val="24"/>
        </w:rPr>
        <w:t>3.学校组织专家评审，确定校级立项名单并择优推荐省级大学生创新创业训练计划项目。</w:t>
      </w:r>
    </w:p>
    <w:p>
      <w:pPr>
        <w:widowControl/>
        <w:spacing w:line="360" w:lineRule="auto"/>
        <w:ind w:firstLine="480" w:firstLineChars="200"/>
        <w:rPr>
          <w:rFonts w:ascii="宋体" w:hAnsi="宋体"/>
          <w:sz w:val="24"/>
        </w:rPr>
      </w:pPr>
      <w:r>
        <w:rPr>
          <w:rFonts w:hint="eastAsia" w:ascii="宋体" w:hAnsi="宋体"/>
          <w:sz w:val="24"/>
        </w:rPr>
        <w:t>4.项目负责人填写</w:t>
      </w:r>
      <w:r>
        <w:rPr>
          <w:rFonts w:hint="eastAsia" w:ascii="宋体" w:hAnsi="宋体" w:cs="宋体"/>
          <w:kern w:val="0"/>
          <w:sz w:val="24"/>
        </w:rPr>
        <w:t>《内江师范学院大学生创新创业训练计划项目任务书》</w:t>
      </w:r>
      <w:r>
        <w:rPr>
          <w:rFonts w:hint="eastAsia" w:ascii="宋体" w:hAnsi="宋体"/>
          <w:sz w:val="24"/>
        </w:rPr>
        <w:t>，并按任务书实施。不按时提交，视为自动放弃。</w:t>
      </w:r>
    </w:p>
    <w:p>
      <w:pPr>
        <w:widowControl/>
        <w:spacing w:line="360" w:lineRule="auto"/>
        <w:ind w:firstLine="480" w:firstLineChars="200"/>
        <w:rPr>
          <w:rFonts w:ascii="宋体" w:hAnsi="宋体"/>
          <w:sz w:val="24"/>
        </w:rPr>
      </w:pPr>
      <w:r>
        <w:rPr>
          <w:rFonts w:hint="eastAsia" w:ascii="宋体" w:hAnsi="宋体"/>
          <w:sz w:val="24"/>
        </w:rPr>
        <w:t>第十二条  中期检查。</w:t>
      </w:r>
    </w:p>
    <w:p>
      <w:pPr>
        <w:widowControl/>
        <w:spacing w:line="360" w:lineRule="auto"/>
        <w:ind w:firstLine="480" w:firstLineChars="200"/>
        <w:rPr>
          <w:rFonts w:ascii="宋体" w:hAnsi="宋体"/>
          <w:sz w:val="24"/>
        </w:rPr>
      </w:pPr>
      <w:r>
        <w:rPr>
          <w:rFonts w:hint="eastAsia" w:ascii="宋体" w:hAnsi="宋体"/>
          <w:sz w:val="24"/>
        </w:rPr>
        <w:t>1.中期检查由项目所在教学单位工作小组负责组织实施。中期检查主要内容包括：工作进度、经费使用情况等，提出项目进一步实施的意见和建议。中期检查材料应在项目所在单位存档，中期检查结果应汇总总结后及时交教务处。</w:t>
      </w:r>
    </w:p>
    <w:p>
      <w:pPr>
        <w:widowControl/>
        <w:spacing w:line="360" w:lineRule="auto"/>
        <w:ind w:firstLine="480" w:firstLineChars="200"/>
        <w:rPr>
          <w:rFonts w:ascii="宋体" w:hAnsi="宋体"/>
          <w:sz w:val="24"/>
        </w:rPr>
      </w:pPr>
      <w:r>
        <w:rPr>
          <w:rFonts w:hint="eastAsia" w:ascii="宋体" w:hAnsi="宋体"/>
          <w:sz w:val="24"/>
        </w:rPr>
        <w:t>2.项目变更或终止应由项目负责人向工作小组提出书面申请，阐明具体原因，对更改项目内容、更换项目成员、提前或推迟项目进度等作出详细描述。工作小组审核，给出同意与否的结论，并提交学校审定后方可执行。</w:t>
      </w:r>
    </w:p>
    <w:p>
      <w:pPr>
        <w:widowControl/>
        <w:spacing w:line="360" w:lineRule="auto"/>
        <w:ind w:firstLine="480" w:firstLineChars="200"/>
        <w:rPr>
          <w:rFonts w:ascii="宋体" w:hAnsi="宋体"/>
          <w:sz w:val="24"/>
        </w:rPr>
      </w:pPr>
      <w:r>
        <w:rPr>
          <w:rFonts w:hint="eastAsia" w:ascii="宋体" w:hAnsi="宋体"/>
          <w:sz w:val="24"/>
        </w:rPr>
        <w:t>第十三条  结题验收。</w:t>
      </w:r>
    </w:p>
    <w:p>
      <w:pPr>
        <w:widowControl/>
        <w:spacing w:line="360" w:lineRule="auto"/>
        <w:ind w:firstLine="480" w:firstLineChars="200"/>
        <w:rPr>
          <w:rFonts w:ascii="宋体" w:hAnsi="宋体"/>
          <w:sz w:val="24"/>
        </w:rPr>
      </w:pPr>
      <w:r>
        <w:rPr>
          <w:rFonts w:hint="eastAsia" w:ascii="宋体" w:hAnsi="宋体"/>
          <w:kern w:val="13"/>
          <w:sz w:val="24"/>
        </w:rPr>
        <w:t>1.项目建设期满须接受验收。项目负责人必须提交项目建设总结报告，补充材料为论文、设计、专利以及相关支撑材料。学校将组织专家评审。</w:t>
      </w:r>
      <w:r>
        <w:rPr>
          <w:rFonts w:hint="eastAsia" w:ascii="宋体" w:hAnsi="宋体"/>
          <w:sz w:val="24"/>
        </w:rPr>
        <w:t>教学单位汇总结题材料后交教务处存档。</w:t>
      </w:r>
    </w:p>
    <w:p>
      <w:pPr>
        <w:widowControl/>
        <w:spacing w:line="360" w:lineRule="auto"/>
        <w:ind w:firstLine="480" w:firstLineChars="200"/>
        <w:rPr>
          <w:rFonts w:ascii="宋体" w:hAnsi="宋体"/>
          <w:kern w:val="13"/>
          <w:sz w:val="24"/>
        </w:rPr>
      </w:pPr>
      <w:r>
        <w:rPr>
          <w:rFonts w:hint="eastAsia" w:ascii="宋体" w:hAnsi="宋体"/>
          <w:sz w:val="24"/>
        </w:rPr>
        <w:t>2.</w:t>
      </w:r>
      <w:r>
        <w:rPr>
          <w:rFonts w:hint="eastAsia" w:ascii="宋体" w:hAnsi="宋体"/>
          <w:kern w:val="13"/>
          <w:sz w:val="24"/>
        </w:rPr>
        <w:t>受资助项目如因实际困难或选题有所改动等原因不能按期完成者，经领导小组同意后可适当延期，但延期不得超过一年。研究项目由于一些不可克服的原因而终止研究者，应由项目负责人提交项目终止报告。</w:t>
      </w:r>
    </w:p>
    <w:p>
      <w:pPr>
        <w:widowControl/>
        <w:spacing w:line="360" w:lineRule="auto"/>
        <w:ind w:firstLine="480" w:firstLineChars="200"/>
        <w:rPr>
          <w:rFonts w:ascii="宋体" w:hAnsi="宋体"/>
          <w:kern w:val="13"/>
          <w:sz w:val="24"/>
        </w:rPr>
      </w:pPr>
      <w:r>
        <w:rPr>
          <w:rFonts w:hint="eastAsia" w:ascii="宋体" w:hAnsi="宋体"/>
          <w:kern w:val="13"/>
          <w:sz w:val="24"/>
        </w:rPr>
        <w:t>3.有下列情形之一的，学校将视其情节轻重给予警告、中止或撤消项目等处理。</w:t>
      </w:r>
    </w:p>
    <w:p>
      <w:pPr>
        <w:widowControl/>
        <w:spacing w:line="360" w:lineRule="auto"/>
        <w:ind w:firstLine="480" w:firstLineChars="200"/>
        <w:rPr>
          <w:rFonts w:ascii="宋体" w:hAnsi="宋体"/>
          <w:kern w:val="13"/>
          <w:sz w:val="24"/>
        </w:rPr>
      </w:pPr>
      <w:r>
        <w:rPr>
          <w:rFonts w:hint="eastAsia" w:ascii="宋体" w:hAnsi="宋体"/>
          <w:kern w:val="13"/>
          <w:sz w:val="24"/>
        </w:rPr>
        <w:fldChar w:fldCharType="begin"/>
      </w:r>
      <w:r>
        <w:rPr>
          <w:rFonts w:hint="eastAsia" w:ascii="宋体" w:hAnsi="宋体"/>
          <w:kern w:val="13"/>
          <w:sz w:val="24"/>
        </w:rPr>
        <w:instrText xml:space="preserve"> = 1 \* GB2 </w:instrText>
      </w:r>
      <w:r>
        <w:rPr>
          <w:rFonts w:hint="eastAsia" w:ascii="宋体" w:hAnsi="宋体"/>
          <w:kern w:val="13"/>
          <w:sz w:val="24"/>
        </w:rPr>
        <w:fldChar w:fldCharType="separate"/>
      </w:r>
      <w:r>
        <w:rPr>
          <w:rFonts w:hint="eastAsia" w:ascii="宋体" w:hAnsi="宋体"/>
          <w:kern w:val="13"/>
          <w:sz w:val="24"/>
        </w:rPr>
        <w:t>⑴</w:t>
      </w:r>
      <w:r>
        <w:rPr>
          <w:rFonts w:hint="eastAsia" w:ascii="宋体" w:hAnsi="宋体"/>
          <w:kern w:val="13"/>
          <w:sz w:val="24"/>
        </w:rPr>
        <w:fldChar w:fldCharType="end"/>
      </w:r>
      <w:r>
        <w:rPr>
          <w:rFonts w:hint="eastAsia" w:ascii="宋体" w:hAnsi="宋体"/>
          <w:kern w:val="13"/>
          <w:sz w:val="24"/>
        </w:rPr>
        <w:t>申报、建设材料弄虚作假、违背学术道德；</w:t>
      </w:r>
    </w:p>
    <w:p>
      <w:pPr>
        <w:widowControl/>
        <w:spacing w:line="360" w:lineRule="auto"/>
        <w:ind w:firstLine="480" w:firstLineChars="200"/>
        <w:rPr>
          <w:rFonts w:ascii="宋体" w:hAnsi="宋体"/>
          <w:kern w:val="13"/>
          <w:sz w:val="24"/>
        </w:rPr>
      </w:pPr>
      <w:r>
        <w:rPr>
          <w:rFonts w:hint="eastAsia" w:ascii="宋体" w:hAnsi="宋体"/>
          <w:kern w:val="13"/>
          <w:sz w:val="24"/>
        </w:rPr>
        <w:fldChar w:fldCharType="begin"/>
      </w:r>
      <w:r>
        <w:rPr>
          <w:rFonts w:hint="eastAsia" w:ascii="宋体" w:hAnsi="宋体"/>
          <w:kern w:val="13"/>
          <w:sz w:val="24"/>
        </w:rPr>
        <w:instrText xml:space="preserve"> = 2 \* GB2 </w:instrText>
      </w:r>
      <w:r>
        <w:rPr>
          <w:rFonts w:hint="eastAsia" w:ascii="宋体" w:hAnsi="宋体"/>
          <w:kern w:val="13"/>
          <w:sz w:val="24"/>
        </w:rPr>
        <w:fldChar w:fldCharType="separate"/>
      </w:r>
      <w:r>
        <w:rPr>
          <w:rFonts w:hint="eastAsia" w:ascii="宋体" w:hAnsi="宋体"/>
          <w:kern w:val="13"/>
          <w:sz w:val="24"/>
        </w:rPr>
        <w:t>⑵</w:t>
      </w:r>
      <w:r>
        <w:rPr>
          <w:rFonts w:hint="eastAsia" w:ascii="宋体" w:hAnsi="宋体"/>
          <w:kern w:val="13"/>
          <w:sz w:val="24"/>
        </w:rPr>
        <w:fldChar w:fldCharType="end"/>
      </w:r>
      <w:r>
        <w:rPr>
          <w:rFonts w:hint="eastAsia" w:ascii="宋体" w:hAnsi="宋体"/>
          <w:kern w:val="13"/>
          <w:sz w:val="24"/>
        </w:rPr>
        <w:t>项目执行不力，未开展实质性建设工作；</w:t>
      </w:r>
    </w:p>
    <w:p>
      <w:pPr>
        <w:widowControl/>
        <w:spacing w:line="360" w:lineRule="auto"/>
        <w:ind w:firstLine="480" w:firstLineChars="200"/>
        <w:rPr>
          <w:rFonts w:ascii="宋体" w:hAnsi="宋体"/>
          <w:kern w:val="13"/>
          <w:sz w:val="24"/>
        </w:rPr>
      </w:pPr>
      <w:r>
        <w:rPr>
          <w:rFonts w:hint="eastAsia" w:ascii="宋体" w:hAnsi="宋体"/>
          <w:kern w:val="13"/>
          <w:sz w:val="24"/>
        </w:rPr>
        <w:fldChar w:fldCharType="begin"/>
      </w:r>
      <w:r>
        <w:rPr>
          <w:rFonts w:hint="eastAsia" w:ascii="宋体" w:hAnsi="宋体"/>
          <w:kern w:val="13"/>
          <w:sz w:val="24"/>
        </w:rPr>
        <w:instrText xml:space="preserve"> = 3 \* GB2 </w:instrText>
      </w:r>
      <w:r>
        <w:rPr>
          <w:rFonts w:hint="eastAsia" w:ascii="宋体" w:hAnsi="宋体"/>
          <w:kern w:val="13"/>
          <w:sz w:val="24"/>
        </w:rPr>
        <w:fldChar w:fldCharType="separate"/>
      </w:r>
      <w:r>
        <w:rPr>
          <w:rFonts w:hint="eastAsia" w:ascii="宋体" w:hAnsi="宋体"/>
          <w:kern w:val="13"/>
          <w:sz w:val="24"/>
        </w:rPr>
        <w:t>⑶</w:t>
      </w:r>
      <w:r>
        <w:rPr>
          <w:rFonts w:hint="eastAsia" w:ascii="宋体" w:hAnsi="宋体"/>
          <w:kern w:val="13"/>
          <w:sz w:val="24"/>
        </w:rPr>
        <w:fldChar w:fldCharType="end"/>
      </w:r>
      <w:r>
        <w:rPr>
          <w:rFonts w:hint="eastAsia" w:ascii="宋体" w:hAnsi="宋体"/>
          <w:kern w:val="13"/>
          <w:sz w:val="24"/>
        </w:rPr>
        <w:t>未按要求上报项目建设有关材料，无故不接受对项目实施情况的检查、验收、监督与审计；</w:t>
      </w:r>
    </w:p>
    <w:p>
      <w:pPr>
        <w:widowControl/>
        <w:spacing w:line="360" w:lineRule="auto"/>
        <w:ind w:firstLine="480" w:firstLineChars="200"/>
        <w:rPr>
          <w:rFonts w:ascii="宋体" w:hAnsi="宋体"/>
          <w:kern w:val="13"/>
          <w:sz w:val="24"/>
        </w:rPr>
      </w:pPr>
      <w:r>
        <w:rPr>
          <w:rFonts w:hint="eastAsia" w:ascii="宋体" w:hAnsi="宋体"/>
          <w:kern w:val="13"/>
          <w:sz w:val="24"/>
        </w:rPr>
        <w:fldChar w:fldCharType="begin"/>
      </w:r>
      <w:r>
        <w:rPr>
          <w:rFonts w:hint="eastAsia" w:ascii="宋体" w:hAnsi="宋体"/>
          <w:kern w:val="13"/>
          <w:sz w:val="24"/>
        </w:rPr>
        <w:instrText xml:space="preserve"> = 4 \* GB2 </w:instrText>
      </w:r>
      <w:r>
        <w:rPr>
          <w:rFonts w:hint="eastAsia" w:ascii="宋体" w:hAnsi="宋体"/>
          <w:kern w:val="13"/>
          <w:sz w:val="24"/>
        </w:rPr>
        <w:fldChar w:fldCharType="separate"/>
      </w:r>
      <w:r>
        <w:rPr>
          <w:rFonts w:hint="eastAsia" w:ascii="宋体" w:hAnsi="宋体"/>
          <w:kern w:val="13"/>
          <w:sz w:val="24"/>
        </w:rPr>
        <w:t>⑷</w:t>
      </w:r>
      <w:r>
        <w:rPr>
          <w:rFonts w:hint="eastAsia" w:ascii="宋体" w:hAnsi="宋体"/>
          <w:kern w:val="13"/>
          <w:sz w:val="24"/>
        </w:rPr>
        <w:fldChar w:fldCharType="end"/>
      </w:r>
      <w:r>
        <w:rPr>
          <w:rFonts w:hint="eastAsia" w:ascii="宋体" w:hAnsi="宋体"/>
          <w:kern w:val="13"/>
          <w:sz w:val="24"/>
        </w:rPr>
        <w:t>项目经费的使用不符合有关财经法规和制度的规定，或者有其他违反项目管理办法的行为。</w:t>
      </w:r>
    </w:p>
    <w:p>
      <w:pPr>
        <w:widowControl/>
        <w:spacing w:line="360" w:lineRule="auto"/>
        <w:ind w:firstLine="480" w:firstLineChars="200"/>
        <w:rPr>
          <w:rFonts w:ascii="宋体" w:hAnsi="宋体"/>
          <w:sz w:val="24"/>
        </w:rPr>
      </w:pPr>
      <w:r>
        <w:rPr>
          <w:rFonts w:hint="eastAsia" w:ascii="宋体" w:hAnsi="宋体"/>
          <w:sz w:val="24"/>
        </w:rPr>
        <w:t>4.项目成果须标注“内江师范学院大学生创新创业训练计划项目资助”，专利知识产权归学校所有。</w:t>
      </w:r>
    </w:p>
    <w:p>
      <w:pPr>
        <w:adjustRightInd w:val="0"/>
        <w:snapToGrid w:val="0"/>
        <w:spacing w:line="360" w:lineRule="auto"/>
        <w:ind w:firstLine="482" w:firstLineChars="200"/>
        <w:jc w:val="center"/>
        <w:rPr>
          <w:rFonts w:ascii="宋体" w:hAnsi="宋体"/>
          <w:b/>
          <w:kern w:val="13"/>
          <w:sz w:val="24"/>
        </w:rPr>
      </w:pPr>
      <w:r>
        <w:rPr>
          <w:rFonts w:hint="eastAsia" w:ascii="宋体" w:hAnsi="宋体"/>
          <w:b/>
          <w:kern w:val="13"/>
          <w:sz w:val="24"/>
        </w:rPr>
        <w:t>第六章  保障措施</w:t>
      </w:r>
    </w:p>
    <w:p>
      <w:pPr>
        <w:widowControl/>
        <w:spacing w:line="360" w:lineRule="auto"/>
        <w:ind w:firstLine="480" w:firstLineChars="200"/>
        <w:rPr>
          <w:rFonts w:ascii="宋体" w:hAnsi="宋体"/>
          <w:kern w:val="13"/>
          <w:sz w:val="24"/>
        </w:rPr>
      </w:pPr>
      <w:r>
        <w:rPr>
          <w:rFonts w:hint="eastAsia" w:ascii="宋体" w:hAnsi="宋体"/>
          <w:kern w:val="13"/>
          <w:sz w:val="24"/>
        </w:rPr>
        <w:t>第十四条  经费支持。</w:t>
      </w:r>
    </w:p>
    <w:p>
      <w:pPr>
        <w:widowControl/>
        <w:spacing w:line="360" w:lineRule="auto"/>
        <w:ind w:firstLine="480" w:firstLineChars="200"/>
        <w:rPr>
          <w:rFonts w:ascii="宋体" w:hAnsi="宋体"/>
          <w:kern w:val="13"/>
          <w:sz w:val="24"/>
        </w:rPr>
      </w:pPr>
      <w:r>
        <w:rPr>
          <w:rFonts w:hint="eastAsia" w:ascii="宋体" w:hAnsi="宋体"/>
          <w:kern w:val="13"/>
          <w:sz w:val="24"/>
        </w:rPr>
        <w:t>1.学校将为大学生创新创业训练计划项目资助经费，鼓励教学单位及指导教师配套经费支持，并争取社会各界的资助。</w:t>
      </w:r>
    </w:p>
    <w:p>
      <w:pPr>
        <w:widowControl/>
        <w:spacing w:line="360" w:lineRule="auto"/>
        <w:ind w:firstLine="480" w:firstLineChars="200"/>
        <w:rPr>
          <w:rFonts w:ascii="宋体" w:hAnsi="宋体"/>
          <w:sz w:val="24"/>
        </w:rPr>
      </w:pPr>
      <w:r>
        <w:rPr>
          <w:rFonts w:hint="eastAsia" w:ascii="宋体" w:hAnsi="宋体"/>
          <w:sz w:val="24"/>
        </w:rPr>
        <w:t>2.项目经费主要用于资料费、实验材料费、调研费、会议费等，不能用于购置固定资产。具体经费使用按学校有关财务管理制度执行</w:t>
      </w:r>
      <w:r>
        <w:rPr>
          <w:rFonts w:hint="eastAsia" w:ascii="宋体" w:hAnsi="宋体" w:cs="宋体"/>
          <w:bCs/>
          <w:kern w:val="0"/>
          <w:sz w:val="24"/>
        </w:rPr>
        <w:t>。经费仅限项目组（不含指导教师）使用</w:t>
      </w:r>
      <w:r>
        <w:rPr>
          <w:rFonts w:hint="eastAsia" w:ascii="宋体" w:hAnsi="宋体"/>
          <w:sz w:val="24"/>
        </w:rPr>
        <w:t>。</w:t>
      </w:r>
    </w:p>
    <w:p>
      <w:pPr>
        <w:widowControl/>
        <w:spacing w:line="360" w:lineRule="auto"/>
        <w:ind w:firstLine="480" w:firstLineChars="200"/>
        <w:rPr>
          <w:rFonts w:ascii="宋体" w:hAnsi="宋体"/>
          <w:sz w:val="24"/>
        </w:rPr>
      </w:pPr>
      <w:r>
        <w:rPr>
          <w:rFonts w:hint="eastAsia" w:ascii="宋体" w:hAnsi="宋体"/>
          <w:sz w:val="24"/>
        </w:rPr>
        <w:t>3.项目运行期间若未按照项目申报书规定进行项目建设，学校有权做出限期整改、撤销和终止项目的决定并追回项目经费。</w:t>
      </w:r>
    </w:p>
    <w:p>
      <w:pPr>
        <w:widowControl/>
        <w:spacing w:line="360" w:lineRule="auto"/>
        <w:ind w:firstLine="480" w:firstLineChars="200"/>
        <w:rPr>
          <w:rFonts w:ascii="宋体" w:hAnsi="宋体"/>
          <w:kern w:val="13"/>
          <w:sz w:val="24"/>
        </w:rPr>
      </w:pPr>
      <w:r>
        <w:rPr>
          <w:rFonts w:hint="eastAsia" w:ascii="宋体" w:hAnsi="宋体"/>
          <w:kern w:val="13"/>
          <w:sz w:val="24"/>
        </w:rPr>
        <w:t>4.指导教师</w:t>
      </w:r>
      <w:r>
        <w:rPr>
          <w:rFonts w:hint="eastAsia" w:ascii="宋体" w:hAnsi="宋体"/>
          <w:sz w:val="24"/>
        </w:rPr>
        <w:t>每指导一个项目按50个教分计算工作量（参照通识教育选修课副高级职称标准）。</w:t>
      </w:r>
    </w:p>
    <w:p>
      <w:pPr>
        <w:adjustRightInd w:val="0"/>
        <w:snapToGrid w:val="0"/>
        <w:spacing w:line="360" w:lineRule="auto"/>
        <w:ind w:firstLine="480" w:firstLineChars="200"/>
        <w:rPr>
          <w:rFonts w:ascii="宋体" w:hAnsi="宋体"/>
          <w:kern w:val="13"/>
          <w:sz w:val="24"/>
        </w:rPr>
      </w:pPr>
      <w:r>
        <w:rPr>
          <w:rFonts w:hint="eastAsia" w:ascii="宋体" w:hAnsi="宋体"/>
          <w:kern w:val="13"/>
          <w:sz w:val="24"/>
        </w:rPr>
        <w:t>第十五条  学校的实验教学中心、各级实验室及教学单位的资料室应向参与项目的学生免费提供实验场地和实验仪器设备及相关资料。有条件的实验教学中心可建立本科生科研创新创业实验室。</w:t>
      </w:r>
    </w:p>
    <w:p>
      <w:pPr>
        <w:widowControl/>
        <w:spacing w:line="360" w:lineRule="auto"/>
        <w:ind w:firstLine="480" w:firstLineChars="200"/>
        <w:rPr>
          <w:rFonts w:ascii="宋体" w:hAnsi="宋体"/>
          <w:kern w:val="13"/>
          <w:sz w:val="24"/>
        </w:rPr>
      </w:pPr>
      <w:r>
        <w:rPr>
          <w:rFonts w:hint="eastAsia" w:ascii="宋体" w:hAnsi="宋体"/>
          <w:kern w:val="13"/>
          <w:sz w:val="24"/>
        </w:rPr>
        <w:t>第十六条  大学生创新创业训练计划融入人才培养方案。</w:t>
      </w:r>
    </w:p>
    <w:p>
      <w:pPr>
        <w:widowControl/>
        <w:spacing w:line="360" w:lineRule="auto"/>
        <w:ind w:firstLine="480" w:firstLineChars="200"/>
        <w:rPr>
          <w:rFonts w:ascii="宋体" w:hAnsi="宋体"/>
          <w:sz w:val="24"/>
        </w:rPr>
      </w:pPr>
      <w:r>
        <w:rPr>
          <w:rFonts w:hint="eastAsia" w:ascii="宋体" w:hAnsi="宋体"/>
          <w:kern w:val="13"/>
          <w:sz w:val="24"/>
        </w:rPr>
        <w:t xml:space="preserve">第十七条  </w:t>
      </w:r>
      <w:r>
        <w:rPr>
          <w:rFonts w:hint="eastAsia" w:ascii="宋体" w:hAnsi="宋体"/>
          <w:sz w:val="24"/>
        </w:rPr>
        <w:t>奖励措施。</w:t>
      </w:r>
    </w:p>
    <w:p>
      <w:pPr>
        <w:widowControl/>
        <w:spacing w:line="360" w:lineRule="auto"/>
        <w:ind w:firstLine="480" w:firstLineChars="200"/>
        <w:rPr>
          <w:rFonts w:ascii="宋体" w:hAnsi="宋体"/>
          <w:sz w:val="24"/>
        </w:rPr>
      </w:pPr>
      <w:r>
        <w:rPr>
          <w:rFonts w:hint="eastAsia" w:ascii="宋体" w:hAnsi="宋体"/>
          <w:sz w:val="24"/>
        </w:rPr>
        <w:t>按《内江师范学院教学奖励办法》（试行）（内师院发 [2014]99号）文件执行。</w:t>
      </w:r>
    </w:p>
    <w:p>
      <w:pPr>
        <w:adjustRightInd w:val="0"/>
        <w:snapToGrid w:val="0"/>
        <w:spacing w:line="360" w:lineRule="auto"/>
        <w:ind w:firstLine="482" w:firstLineChars="200"/>
        <w:jc w:val="center"/>
        <w:rPr>
          <w:rFonts w:ascii="宋体" w:hAnsi="宋体"/>
          <w:b/>
          <w:kern w:val="13"/>
          <w:sz w:val="24"/>
        </w:rPr>
      </w:pPr>
      <w:r>
        <w:rPr>
          <w:rFonts w:hint="eastAsia" w:ascii="宋体" w:hAnsi="宋体"/>
          <w:b/>
          <w:kern w:val="13"/>
          <w:sz w:val="24"/>
        </w:rPr>
        <w:t>第七章   附  则</w:t>
      </w:r>
    </w:p>
    <w:p>
      <w:pPr>
        <w:adjustRightInd w:val="0"/>
        <w:snapToGrid w:val="0"/>
        <w:spacing w:line="360" w:lineRule="auto"/>
        <w:ind w:firstLine="537" w:firstLineChars="224"/>
        <w:rPr>
          <w:rFonts w:ascii="宋体" w:hAnsi="宋体"/>
          <w:sz w:val="24"/>
        </w:rPr>
      </w:pPr>
      <w:r>
        <w:rPr>
          <w:rFonts w:hint="eastAsia" w:ascii="宋体" w:hAnsi="宋体"/>
          <w:sz w:val="24"/>
        </w:rPr>
        <w:t>第十八条  本办法从2015年1月1日起执行。其他校内有关文件规定与本办法不一致的，以本办法为准。</w:t>
      </w:r>
    </w:p>
    <w:p>
      <w:pPr>
        <w:adjustRightInd w:val="0"/>
        <w:snapToGrid w:val="0"/>
        <w:spacing w:line="360" w:lineRule="auto"/>
        <w:ind w:firstLine="537" w:firstLineChars="224"/>
        <w:rPr>
          <w:rFonts w:ascii="宋体" w:hAnsi="宋体"/>
          <w:sz w:val="24"/>
        </w:rPr>
      </w:pPr>
      <w:r>
        <w:rPr>
          <w:rFonts w:hint="eastAsia" w:ascii="宋体" w:hAnsi="宋体"/>
          <w:sz w:val="24"/>
        </w:rPr>
        <w:t>第十九条  本办法解释权归教务处。</w:t>
      </w:r>
    </w:p>
    <w:p>
      <w:pPr>
        <w:adjustRightInd w:val="0"/>
        <w:snapToGrid w:val="0"/>
        <w:spacing w:line="360" w:lineRule="auto"/>
        <w:ind w:firstLine="537" w:firstLineChars="224"/>
        <w:rPr>
          <w:rFonts w:ascii="宋体" w:hAnsi="宋体"/>
          <w:sz w:val="24"/>
        </w:rPr>
      </w:pPr>
    </w:p>
    <w:p>
      <w:pPr>
        <w:adjustRightInd w:val="0"/>
        <w:snapToGrid w:val="0"/>
        <w:spacing w:line="360" w:lineRule="auto"/>
        <w:ind w:firstLine="537" w:firstLineChars="224"/>
        <w:rPr>
          <w:rFonts w:ascii="宋体" w:hAnsi="宋体"/>
          <w:sz w:val="24"/>
        </w:rPr>
      </w:pPr>
    </w:p>
    <w:p>
      <w:pPr>
        <w:adjustRightInd w:val="0"/>
        <w:snapToGrid w:val="0"/>
        <w:spacing w:line="360" w:lineRule="auto"/>
        <w:ind w:firstLine="537" w:firstLineChars="224"/>
        <w:jc w:val="right"/>
        <w:rPr>
          <w:rFonts w:ascii="宋体" w:hAnsi="宋体"/>
          <w:sz w:val="24"/>
        </w:rPr>
      </w:pPr>
      <w:r>
        <w:rPr>
          <w:rFonts w:hint="eastAsia" w:ascii="宋体" w:hAnsi="宋体"/>
          <w:sz w:val="24"/>
        </w:rPr>
        <w:t>2015年5月22日</w:t>
      </w: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jc w:val="center"/>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内江师范学院</w:t>
      </w:r>
    </w:p>
    <w:p>
      <w:pPr>
        <w:widowControl/>
        <w:spacing w:line="560" w:lineRule="exact"/>
        <w:jc w:val="center"/>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关于深化创新创业教育改革的实施方案（试行）</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内师院发〔2015〕95号</w:t>
      </w:r>
    </w:p>
    <w:p>
      <w:pPr>
        <w:widowControl/>
        <w:spacing w:line="560" w:lineRule="exact"/>
        <w:jc w:val="center"/>
        <w:rPr>
          <w:rFonts w:cs="宋体" w:asciiTheme="majorEastAsia" w:hAnsiTheme="majorEastAsia" w:eastAsiaTheme="majorEastAsia"/>
          <w:b/>
          <w:bCs/>
          <w:w w:val="90"/>
          <w:kern w:val="0"/>
          <w:sz w:val="30"/>
          <w:szCs w:val="30"/>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全面贯彻落实党的十八大关于创新创业人才培养的重要部署，加强我校创新创业教育科学化、制度化、规范化建设，深化人才培养模式改革，培养学生创新精神和创业能力，根据《国务院办公厅关于深化高等学校创新创业教育改革的实施意见》（国办发〔2015〕36号）、《普通本科学校创业教育教学基本要求（试行）》（教高厅〔2012〕4号）、《四川省人民政府办公厅关于深化高等学校创新创业教育改革的实施意见》（川办发〔2015〕64号）、《内江师范学院关于进一步提高人才培养质量的实施意见》 (内师院发〔2013〕11号)等文件精神，结合我校转型发展实际，特制定本办法。</w:t>
      </w:r>
    </w:p>
    <w:p>
      <w:pPr>
        <w:pStyle w:val="20"/>
        <w:spacing w:line="360" w:lineRule="auto"/>
        <w:ind w:firstLine="0" w:firstLineChars="0"/>
        <w:jc w:val="center"/>
        <w:outlineLvl w:val="0"/>
        <w:rPr>
          <w:rFonts w:asciiTheme="minorEastAsia" w:hAnsiTheme="minorEastAsia"/>
          <w:b/>
          <w:sz w:val="24"/>
          <w:szCs w:val="24"/>
        </w:rPr>
      </w:pPr>
      <w:r>
        <w:rPr>
          <w:rFonts w:hint="eastAsia" w:asciiTheme="minorEastAsia" w:hAnsiTheme="minorEastAsia"/>
          <w:b/>
          <w:sz w:val="24"/>
          <w:szCs w:val="24"/>
        </w:rPr>
        <w:t>第一章  总则</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第一条</w:t>
      </w:r>
      <w:r>
        <w:rPr>
          <w:rFonts w:hint="eastAsia" w:asciiTheme="minorEastAsia" w:hAnsiTheme="minorEastAsia"/>
          <w:sz w:val="24"/>
          <w:szCs w:val="24"/>
        </w:rPr>
        <w:t xml:space="preserve">  指导思想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全面贯彻党的教育方针，落实立德树人根本任务，推进素质教育，提高教育质量。将深化创新创业教育改革作为推进教育教学综合改革的突破口，树立先进的创新创业教育理念，以改革人才培养模式和课程体系为重点，落实大学生创新创业训练计划，将创新创业教育融入人才培养全过程，提升学生的社会责任感、创新精神和创业能力。</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第二条</w:t>
      </w:r>
      <w:r>
        <w:rPr>
          <w:rFonts w:hint="eastAsia" w:asciiTheme="minorEastAsia" w:hAnsiTheme="minorEastAsia"/>
          <w:sz w:val="24"/>
          <w:szCs w:val="24"/>
        </w:rPr>
        <w:t xml:space="preserve">  总体目标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坚持立德树人基本导向，明确创新创业教育目标要求，完善创新创业教育课程体系，建立课堂教学、俱乐部、创新创业训练、创新创业竞赛、创业实践、指导帮扶、文化引领融为一体的高校创新创业教育体系，努力实现创新创业教育与专业教育向有机融合的转变，由注重知识传授向注重创新精神、创业意识和创新创业能力培养的转变，由单纯面向有创新创业意愿的学生向全体学生的转变。立足地方，辐射全省，力争把我校建设成为区域性创新创业人才培养基地。</w:t>
      </w:r>
    </w:p>
    <w:p>
      <w:pPr>
        <w:pStyle w:val="20"/>
        <w:spacing w:line="360" w:lineRule="auto"/>
        <w:ind w:firstLine="0" w:firstLineChars="0"/>
        <w:jc w:val="center"/>
        <w:outlineLvl w:val="0"/>
        <w:rPr>
          <w:rFonts w:asciiTheme="minorEastAsia" w:hAnsiTheme="minorEastAsia"/>
          <w:b/>
          <w:sz w:val="24"/>
          <w:szCs w:val="24"/>
        </w:rPr>
      </w:pPr>
      <w:r>
        <w:rPr>
          <w:rFonts w:hint="eastAsia" w:asciiTheme="minorEastAsia" w:hAnsiTheme="minorEastAsia"/>
          <w:b/>
          <w:sz w:val="24"/>
          <w:szCs w:val="24"/>
        </w:rPr>
        <w:t>第二章  组织机构</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第三条</w:t>
      </w:r>
      <w:r>
        <w:rPr>
          <w:rFonts w:hint="eastAsia" w:asciiTheme="minorEastAsia" w:hAnsiTheme="minorEastAsia"/>
          <w:sz w:val="24"/>
          <w:szCs w:val="24"/>
        </w:rPr>
        <w:t xml:space="preserve">  成立“内江师范学院创新创业教育工作领导小组”，由校长担任组长，分管教学副校长担任副组长，组员由教务处、人事处、学工部、校团委、招生就业处、科技处等主要部门以及各二级学院负责人组成。教务处主要负责涉及的课程体系改革、学籍管理、实践基地建设、大学生创新创业训练计划实施等相关工作；人事处主要负责创新创业教育师资队伍建设及教师专业技术职务评聘和绩效考核；团委、学工部主要负责宣传和社团、创新创业竞赛工作；招就处主要负责创业实践活动、大学生创新创业园运营和俱乐部建设；科技处主要负责科研项目申请及成果转化工作。领导小组下设办公室，挂靠教务处，负责相关日常事务。</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第四条</w:t>
      </w:r>
      <w:r>
        <w:rPr>
          <w:rFonts w:hint="eastAsia" w:asciiTheme="minorEastAsia" w:hAnsiTheme="minorEastAsia"/>
          <w:sz w:val="24"/>
          <w:szCs w:val="24"/>
        </w:rPr>
        <w:t xml:space="preserve">  各教学单位成立创新创业教育工作小组，负责本单位相关工作的具体实施。</w:t>
      </w:r>
    </w:p>
    <w:p>
      <w:pPr>
        <w:pStyle w:val="20"/>
        <w:spacing w:line="360" w:lineRule="auto"/>
        <w:ind w:firstLine="0" w:firstLineChars="0"/>
        <w:jc w:val="center"/>
        <w:outlineLvl w:val="0"/>
        <w:rPr>
          <w:rFonts w:asciiTheme="minorEastAsia" w:hAnsiTheme="minorEastAsia"/>
          <w:b/>
          <w:sz w:val="24"/>
          <w:szCs w:val="24"/>
        </w:rPr>
      </w:pPr>
      <w:r>
        <w:rPr>
          <w:rFonts w:hint="eastAsia" w:asciiTheme="minorEastAsia" w:hAnsiTheme="minorEastAsia"/>
          <w:b/>
          <w:sz w:val="24"/>
          <w:szCs w:val="24"/>
        </w:rPr>
        <w:t>第三章  实施路径</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第五条</w:t>
      </w:r>
      <w:r>
        <w:rPr>
          <w:rFonts w:hint="eastAsia" w:asciiTheme="minorEastAsia" w:hAnsiTheme="minorEastAsia"/>
          <w:sz w:val="24"/>
          <w:szCs w:val="24"/>
        </w:rPr>
        <w:t xml:space="preserve">  完善人才培养方案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学校转型发展为契机，不断深化教育教学改革，把深化高校创新创业教育改革作为高等教育工作的重中之重。大力推进创新创业教育与专业教育的深度融合，将创新创业教育纳入人才培养方案，突出大学生创新精神、创业意识和创新创业能力培养。</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第六条</w:t>
      </w:r>
      <w:r>
        <w:rPr>
          <w:rFonts w:hint="eastAsia" w:asciiTheme="minorEastAsia" w:hAnsiTheme="minorEastAsia"/>
          <w:sz w:val="24"/>
          <w:szCs w:val="24"/>
        </w:rPr>
        <w:t xml:space="preserve">  加大资金支持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设立内江师范学院大学生创新创业训练计划专项资金和内江师范学院大学生创业基金等，优化支出结构，统筹安排经费支持创新创业教育，资助学生创新创业项目。给更多的大学生提供创新训练、创业实践、科研训练机会。</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第七条</w:t>
      </w:r>
      <w:r>
        <w:rPr>
          <w:rFonts w:hint="eastAsia" w:asciiTheme="minorEastAsia" w:hAnsiTheme="minorEastAsia"/>
          <w:sz w:val="24"/>
          <w:szCs w:val="24"/>
        </w:rPr>
        <w:t xml:space="preserve">  加强基地建设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加强专业实验室、虚拟仿真实验教学中心、创业实验室和训练中心建设。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建立内江师范学院大学生创新创业实践基地、内江师范学院大学生创新创业园，为学生创新创业团队创造良好成长环境。</w:t>
      </w:r>
    </w:p>
    <w:p>
      <w:pPr>
        <w:pStyle w:val="20"/>
        <w:spacing w:line="360" w:lineRule="auto"/>
        <w:ind w:firstLine="0" w:firstLineChars="0"/>
        <w:jc w:val="center"/>
        <w:outlineLvl w:val="0"/>
        <w:rPr>
          <w:rFonts w:asciiTheme="minorEastAsia" w:hAnsiTheme="minorEastAsia"/>
          <w:b/>
          <w:sz w:val="24"/>
          <w:szCs w:val="24"/>
        </w:rPr>
      </w:pPr>
      <w:r>
        <w:rPr>
          <w:rFonts w:hint="eastAsia" w:asciiTheme="minorEastAsia" w:hAnsiTheme="minorEastAsia"/>
          <w:b/>
          <w:sz w:val="24"/>
          <w:szCs w:val="24"/>
        </w:rPr>
        <w:t>第四章  主要措施</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第八条</w:t>
      </w:r>
      <w:r>
        <w:rPr>
          <w:rFonts w:hint="eastAsia" w:asciiTheme="minorEastAsia" w:hAnsiTheme="minorEastAsia"/>
          <w:sz w:val="24"/>
          <w:szCs w:val="24"/>
        </w:rPr>
        <w:t xml:space="preserve">  强化创新创业教育理念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广泛开展多种形式、全员参与的创新创业教育专题学习和研讨活动，在全校师生中牢固树立正确的创新创业教育思想观念和“面向全体、人人参与”的改革意识，充分认识创新创业教育的重要性、必要性和紧迫性，科学把握创新创业教育与学科教育、素质教育、就业教育的内在联系，由注重知识传授向注重创新精神、创业意识和创新创业能力培养转变，由单纯面向有创新创业意愿的学生向全体学生转变，切实增强学生的创新精神、创业意识和创新创业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加强国家、省各项创新创业优惠扶持政策的宣传和落实工作，扩大政策知晓面，引导大学生熟悉并用好政策，营造创业良好氛围。充分利用网络、微博、微信、手机客户端等媒体，建立学校创新创业信息化公共服务平台，开展创新创业指导和服务工作。</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第九条 </w:t>
      </w:r>
      <w:r>
        <w:rPr>
          <w:rFonts w:hint="eastAsia" w:asciiTheme="minorEastAsia" w:hAnsiTheme="minorEastAsia"/>
          <w:sz w:val="24"/>
          <w:szCs w:val="24"/>
        </w:rPr>
        <w:t xml:space="preserve"> 制订专业教学质量标准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科专业类教学质量国家标准是国家为大学专业教学制定的、带有强制性的质量标准，是保证专业基本办学条件和教学水平，提高教学质量的重要保障。学校将立足自身办学定位、服务面向，进一步明确创新创业教育的目标要求，制订各本科专业类教学质量标准，并依据“质量标准”加强对专业设置、人才培养和专业建设的指导以及作为本科教学质量评价的参考。以“质量标准”为依据制订专业人才培养目标，设计合理的培养方案，建立适宜的课程体系和教学内容，并在此基础上不断提高专业建设水平。各专业必须以“质量标准”为依据，建立并不断完善内部人才培养质量监督保障机制，以保障专业建设和人才培养工作持续改进。</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第十条  </w:t>
      </w:r>
      <w:r>
        <w:rPr>
          <w:rFonts w:hint="eastAsia" w:asciiTheme="minorEastAsia" w:hAnsiTheme="minorEastAsia"/>
          <w:sz w:val="24"/>
          <w:szCs w:val="24"/>
        </w:rPr>
        <w:t>创新人才培养机制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根据素质教育和经济社会发展对人才培养提出的新要求，准确定位人才培养目标和规格标准，优化人才培养方案，积极探索以学生为本的应用型人才培养有效途径，构建多样化人才培养模式。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加强与行业、企业单位的合作，探索针对岗位群需要的、以能力为本位的教学模式，培养学生创新精神与实践能力。积极推进课程体系改革，把夯实基础知识和强化实践操作能力有机结合。积极推进弹性学制，不断完善学分制。创新本科生个性化培养方案，努力为学生全面发展提供优质和个性化的服务。实施辅修专业、辅修课程制度，重视技能考证，培养复合型、应用型、技能型人才，不断提高毕业生适应社会的能力，更好地为地方经济社会发展服务。加强“卓越计划”的申报及建设管理工作，力争到2020年新增省级“卓越计划”试点项目3个。积极做好现有的国家级、省级专业综合改革、实践教学改革、实验教学示范中心、校外实践教学基地等本科教学质量与改革工程项目的建设工作，发挥其引领示范作用，形成一批科学先进、可复制、可推广的改革成果，并在全校内推广。鼓励和引导教师开展创新创业教学研究与改革，探索教学规律，培育教学成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积极探索多学科交叉融合培养创新创业人才的新途径，稳步打通一级学科或专业类下相近学科专业的基础课程，逐步打开交叉课程只是停留在课程开设单位上交叉的尴尬局面。对于高等数学、大学物理、有机化学、无机化学、普通化学等交叉课程，应根据不同学科专业培养方案对教学内容的需要，开设不同内容的多级、多类课程，采取分级、分类教学方法。在考核时，对同一层次的交叉课程实行“四统一”，即统一大纲、统一要求、统一考试、统一阅卷。并在适当时机增设大学文科数学、大学语文等交叉课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教学名师、教学能手评选为示范，开展青年教师讲课比赛和优秀教师的评选；建立和完善教师考核评价机制，坚持教授、副教授每年为本科生授课制度；优质课讲课比赛；完善专业负责人制度，推行“专业带头人”工程。</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第十一条  </w:t>
      </w:r>
      <w:r>
        <w:rPr>
          <w:rFonts w:hint="eastAsia" w:asciiTheme="minorEastAsia" w:hAnsiTheme="minorEastAsia"/>
          <w:sz w:val="24"/>
          <w:szCs w:val="24"/>
        </w:rPr>
        <w:t>完善创新创业教育课程体系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深化创新创业教育课程体系建设，根据人才培养定位和创新创业教育目标要求，合理设置课程体系，促进专业教育与创新创业教育有机融合，重点建设专业核心课、优质通识选修课、双语课程。进一步加强精品开放课程、网络课程等网络教育资源的开发，强化对网络教育资源的使用力度，精简课堂教学总课时数，适当减少课程门数，探索混合式教学的有效机制。加强研究型、课题型、探讨型、实践型、自主学习型等课程的建设，着力丰富选修课程资源。增大学生自主学习的时间和空间，鼓励开设独立实验实践课程，注重加大学生实践能力与创新精神培养的教学改革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开设研究方法、学科前沿、创业基础、就业创业指导等方面的通识教育必修课和综合素质选修课。创新《大学职业生涯规划》课程的教学内容和教学方法，将就业观、创新创业理念贯穿整个学习阶段，采用课堂教学和配合相应的实践训练等形式开设。</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3</w:t>
      </w:r>
      <w:r>
        <w:rPr>
          <w:rFonts w:hint="eastAsia" w:cs="宋体" w:asciiTheme="minorEastAsia" w:hAnsiTheme="minorEastAsia"/>
          <w:kern w:val="0"/>
          <w:sz w:val="24"/>
          <w:szCs w:val="24"/>
        </w:rPr>
        <w:t xml:space="preserve">. </w:t>
      </w:r>
      <w:r>
        <w:rPr>
          <w:rFonts w:hint="eastAsia" w:asciiTheme="minorEastAsia" w:hAnsiTheme="minorEastAsia"/>
          <w:sz w:val="24"/>
          <w:szCs w:val="24"/>
        </w:rPr>
        <w:t>按第二课堂相关激励措施引导和鼓励学生积极参加</w:t>
      </w:r>
      <w:r>
        <w:rPr>
          <w:rFonts w:hint="eastAsia" w:asciiTheme="minorEastAsia" w:hAnsiTheme="minorEastAsia"/>
          <w:spacing w:val="2"/>
          <w:kern w:val="0"/>
          <w:sz w:val="24"/>
          <w:szCs w:val="24"/>
          <w:shd w:val="clear" w:color="auto" w:fill="FFFFFF"/>
        </w:rPr>
        <w:t>创新创业竞赛、科技创新、创业实践</w:t>
      </w:r>
      <w:r>
        <w:rPr>
          <w:rFonts w:hint="eastAsia" w:asciiTheme="minorEastAsia" w:hAnsiTheme="minorEastAsia"/>
          <w:sz w:val="24"/>
          <w:szCs w:val="24"/>
        </w:rPr>
        <w:t>。</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第十二条</w:t>
      </w:r>
      <w:r>
        <w:rPr>
          <w:rFonts w:hint="eastAsia" w:asciiTheme="minorEastAsia" w:hAnsiTheme="minorEastAsia"/>
          <w:sz w:val="24"/>
          <w:szCs w:val="24"/>
        </w:rPr>
        <w:t xml:space="preserve">  加强教师创新创业教育教学能力建设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建设一支具有较高知识和业务水平、校内外结合的专兼职教师队伍。选任一批具有一定的理论知识，或拥有一定创业经验的教师担任创新创业教学任务。各教学单位至少要有一到两名教师或者辅导员从事创新创业教育教学工作。同时，聘请知名科学家、创业成功者、企业家、风险投资人等各行各业优秀人才，担任专业课、创新创业课授课或指导教师，充实创新创业教师队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开展创新创业教育师资培训。将提高教师创新创业教育的意识和能力作为岗前培训、课程轮训、骨干研修的重要内容。通过选送外出或邀请创新创业教育专家进校开设创新创业教育师资培训班，不断提升创新创业教育师资队伍的专业素质和业务能力。</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第十三条</w:t>
      </w:r>
      <w:r>
        <w:rPr>
          <w:rFonts w:hint="eastAsia" w:asciiTheme="minorEastAsia" w:hAnsiTheme="minorEastAsia"/>
          <w:sz w:val="24"/>
          <w:szCs w:val="24"/>
        </w:rPr>
        <w:t xml:space="preserve">  打造创新创业实践平台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通过专家讲座、座谈、联系导师等多种形式给予学生帮助和指导。鼓励学生积极参与各类职业生涯规划和创新创业培训等短期培训班，培养和增强学生的创业意识。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充分发挥大学生创新创业训练计划和校内创业园的引领示范作用，凝练出好项目，并在条件成熟时，积极尝试进行由学生直接参与管理的市场化运作，给学生搭建实战的平台和制作的空间，实现从创新走向创业，从创新教育到创业教育的延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cs="宋体" w:asciiTheme="minorEastAsia" w:hAnsiTheme="minorEastAsia"/>
          <w:kern w:val="0"/>
          <w:sz w:val="24"/>
          <w:szCs w:val="24"/>
        </w:rPr>
        <w:t xml:space="preserve">. </w:t>
      </w:r>
      <w:r>
        <w:rPr>
          <w:rFonts w:hint="eastAsia" w:asciiTheme="minorEastAsia" w:hAnsiTheme="minorEastAsia"/>
          <w:sz w:val="24"/>
          <w:szCs w:val="24"/>
        </w:rPr>
        <w:t>充分利用教学科研实验室、实践基地的资源，拓展建立创新创业实践基地，为学生创新创业提供支持平台。鼓励和支持学生参加科研立项、大学生创新创业训练计划，充分引导、激发学生的创新创业热情，培养学生的创业意识、创业精神和创业能力。同时，利用我校教师科研成果，与相关企业对接、合作，在创新创业教育教师的指导下转化为可供实施的创业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cs="宋体" w:asciiTheme="minorEastAsia" w:hAnsiTheme="minorEastAsia"/>
          <w:kern w:val="0"/>
          <w:sz w:val="24"/>
          <w:szCs w:val="24"/>
        </w:rPr>
        <w:t xml:space="preserve">. </w:t>
      </w:r>
      <w:r>
        <w:rPr>
          <w:rFonts w:hint="eastAsia" w:asciiTheme="minorEastAsia" w:hAnsiTheme="minorEastAsia"/>
          <w:sz w:val="24"/>
          <w:szCs w:val="24"/>
        </w:rPr>
        <w:t>成立</w:t>
      </w:r>
      <w:r>
        <w:rPr>
          <w:rFonts w:asciiTheme="minorEastAsia" w:hAnsiTheme="minorEastAsia"/>
          <w:sz w:val="24"/>
          <w:szCs w:val="24"/>
        </w:rPr>
        <w:t>创新创业协会等各类社团</w:t>
      </w:r>
      <w:r>
        <w:rPr>
          <w:rFonts w:hint="eastAsia" w:asciiTheme="minorEastAsia" w:hAnsiTheme="minorEastAsia"/>
          <w:sz w:val="24"/>
          <w:szCs w:val="24"/>
        </w:rPr>
        <w:t>，</w:t>
      </w:r>
      <w:r>
        <w:rPr>
          <w:rFonts w:asciiTheme="minorEastAsia" w:hAnsiTheme="minorEastAsia"/>
          <w:sz w:val="24"/>
          <w:szCs w:val="24"/>
        </w:rPr>
        <w:t>加快推进大学生创新创业俱乐部建设，力争在2017年底之前建立以学校为主导，以学生为主体，企业、金融机构、风险投资机构和创业导师等多方参与的大学生创新创业俱乐部，确保俱乐部有机构、有人员、有经费、有场地、有制度、有活动。</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第十四条</w:t>
      </w:r>
      <w:r>
        <w:rPr>
          <w:rFonts w:hint="eastAsia" w:asciiTheme="minorEastAsia" w:hAnsiTheme="minorEastAsia"/>
          <w:sz w:val="24"/>
          <w:szCs w:val="24"/>
        </w:rPr>
        <w:t xml:space="preserve">  改革教学和学籍管理制度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建立学科专业预警、退出管理办法，探索建立需求导向的学科专业结构和创业就业导向的人才培养类型结构调整新机制。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完善创新创业学分的积累转换认定制度，将学生开展创新实验、发表论文、获得专利和自主创业等情况折算为学分，可转换为“创新实践学分”、”综合素质选修课程学分”、“创新学分”或“第二课堂学分”。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cs="宋体" w:asciiTheme="minorEastAsia" w:hAnsiTheme="minorEastAsia"/>
          <w:kern w:val="0"/>
          <w:sz w:val="24"/>
          <w:szCs w:val="24"/>
        </w:rPr>
        <w:t xml:space="preserve">. </w:t>
      </w:r>
      <w:r>
        <w:rPr>
          <w:rFonts w:hint="eastAsia" w:asciiTheme="minorEastAsia" w:hAnsiTheme="minorEastAsia"/>
          <w:sz w:val="24"/>
          <w:szCs w:val="24"/>
        </w:rPr>
        <w:t>探索个性化培养教学管理制度，推行休学创新创业，优先支持参与创新创业的学生根据创新创业兴趣、创新创业意愿和创新创业需求跨学科门类转入相关专业学习。实施弹性学制，放宽学生修业年限，允许调整学业进程、保留学籍休学创新创业，创业学生可根据创业需要与高校协商确定休学年限，办理相关休学手续。</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第十五条</w:t>
      </w:r>
      <w:r>
        <w:rPr>
          <w:rFonts w:hint="eastAsia" w:asciiTheme="minorEastAsia" w:hAnsiTheme="minorEastAsia"/>
          <w:sz w:val="24"/>
          <w:szCs w:val="24"/>
        </w:rPr>
        <w:t xml:space="preserve">  不断改进教学方法和评价方式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以学生为主体，广泛开展启发式、讨论式、参与式和项目化教学，创造条件扩大小班化教学覆盖面，注重培养学生的批判性和创造性思维，鼓励教师把学术前沿发展、最新研究成果和创新实践经验融入课堂教学，激发学生创新创业灵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深入改革考试考核内容和方法，探索非标准答案考试，促进结果考核向过程考核、知识考核向能力考核、单一考核方式向多种考核方式的转变。注重考查学生运用知识分析、解决问题的能力，努力实现考核结果与学生能力相匹配。</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第十六条</w:t>
      </w:r>
      <w:r>
        <w:rPr>
          <w:rFonts w:hint="eastAsia" w:asciiTheme="minorEastAsia" w:hAnsiTheme="minorEastAsia"/>
          <w:sz w:val="24"/>
          <w:szCs w:val="24"/>
        </w:rPr>
        <w:t xml:space="preserve">  做好学生就业创业指导服务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加强国家、省各项就业创业优惠扶持政策的宣传和落实工作，扩大政策知晓面，引导大学生熟悉并用好政策，营造就业创业良好氛围。充分利用网络、微博、微信、手机客户端等媒体，建立学校就业创业信息化公共服务平台，开展就业创业指导和服务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积极落实高校学生创业培训政策，举办形式多样、内容丰富的讲座、报告、交流、参观等各种有针对性的培训，为学生扩大视野、提升创新创业动力和能力做好推动引导准备工作。研发适合学生特点的创业培训课程，建设网络培训平台。自主编制覆盖全体学生的创新创业能力专项培训提升计划，或与有条件的教育培训机构、行业协会、群团组织、企业联合开发创业培训项目，通过学校创新创业实践训练、社会专业培训机构专题培训、用人单位现场实践等多种方式，培养大学生创新创业意识、能力和综合素质。</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 xml:space="preserve">第十七条  </w:t>
      </w:r>
      <w:r>
        <w:rPr>
          <w:rFonts w:hint="eastAsia" w:asciiTheme="minorEastAsia" w:hAnsiTheme="minorEastAsia"/>
          <w:sz w:val="24"/>
          <w:szCs w:val="24"/>
        </w:rPr>
        <w:t>加大资金支持力度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充分认识“大众创业、万众创新”的良好社会局面，整合现有专项资金，每年计划投入创新创业教育教学改革的经费700余万元。其中：本科教学质量与改革工程项目建设经费570余万元，大学生创新创业训练计划100余万元，大学生创新创业工作专项经费10万元，“内江师范学院大学生创业基金”20万元。鼓励二级学院积极配套，并在申报立项时向创新创业教育教学改革倾斜。利用现有资源，积极申报各种科研项目、成果转化项目、科技支撑项目，争取更多的经费支持。与地方有关单位开展紧密合作，积极争取各级政府有关创新创业的优惠政策，推进我校创新创业教育的成果转化与社会资源配置的有机结合，对我校创新创业教育工作提供有力的政策与外部支持，并逐步形成学校与地方互动的创新创业人才培养体系。</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第十八条</w:t>
      </w:r>
      <w:r>
        <w:rPr>
          <w:rFonts w:hint="eastAsia" w:asciiTheme="minorEastAsia" w:hAnsiTheme="minorEastAsia"/>
          <w:sz w:val="24"/>
          <w:szCs w:val="24"/>
        </w:rPr>
        <w:t xml:space="preserve">  完善创新创业教育激励机制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kern w:val="0"/>
          <w:sz w:val="24"/>
          <w:szCs w:val="24"/>
        </w:rPr>
        <w:t xml:space="preserve">. </w:t>
      </w:r>
      <w:r>
        <w:rPr>
          <w:rFonts w:hint="eastAsia" w:asciiTheme="minorEastAsia" w:hAnsiTheme="minorEastAsia"/>
          <w:sz w:val="24"/>
          <w:szCs w:val="24"/>
        </w:rPr>
        <w:t>完善教师参与创新创业教育工作的激励措施。将创新创业教育业绩纳入教师专业技术职务评聘和绩效考核内容并在专业技术职务评审中予以倾斜。将有利于提高大学生创新创业能力的工作，列为教学计划的课程组成部分，计入教学工作量。鼓励教师兼职担任创新创业教育指导教师，并给予相应待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kern w:val="0"/>
          <w:sz w:val="24"/>
          <w:szCs w:val="24"/>
        </w:rPr>
        <w:t xml:space="preserve">. </w:t>
      </w:r>
      <w:r>
        <w:rPr>
          <w:rFonts w:hint="eastAsia" w:asciiTheme="minorEastAsia" w:hAnsiTheme="minorEastAsia"/>
          <w:sz w:val="24"/>
          <w:szCs w:val="24"/>
        </w:rPr>
        <w:t>完善创新创业奖励制度。将学生创新创业教育绩效纳入各教学单位考核指标体系，加强创新创业教育效果评估。对在创新创业教育中表现突出的教师和学生按学校相关文件予以奖励。设立创新创业奖学金，并在现有相关评优评先项目中安排一定比例用于表彰创新创业的优秀学生、指导教师及先进单位，发挥优秀典型的示范引领作用，营造良好氛围。</w:t>
      </w:r>
    </w:p>
    <w:p>
      <w:pPr>
        <w:spacing w:line="360" w:lineRule="auto"/>
        <w:ind w:left="3574" w:right="838" w:rightChars="399" w:hanging="3573" w:hangingChars="1489"/>
        <w:jc w:val="righ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2015年10月15日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bCs/>
          <w:color w:val="000000"/>
          <w:w w:val="90"/>
          <w:sz w:val="32"/>
          <w:szCs w:val="32"/>
        </w:rPr>
      </w:pPr>
      <w:r>
        <w:rPr>
          <w:rFonts w:hint="eastAsia" w:asciiTheme="majorEastAsia" w:hAnsiTheme="majorEastAsia" w:eastAsiaTheme="majorEastAsia"/>
          <w:b/>
          <w:bCs/>
          <w:color w:val="000000"/>
          <w:w w:val="90"/>
          <w:sz w:val="32"/>
          <w:szCs w:val="32"/>
        </w:rPr>
        <w:t>内江师范学院学生创新学分实施办法（修订）</w:t>
      </w:r>
    </w:p>
    <w:p>
      <w:pPr>
        <w:spacing w:line="560" w:lineRule="exact"/>
        <w:jc w:val="center"/>
        <w:rPr>
          <w:rFonts w:asciiTheme="minorEastAsia" w:hAnsiTheme="minorEastAsia"/>
          <w:b/>
          <w:sz w:val="28"/>
          <w:szCs w:val="28"/>
        </w:rPr>
      </w:pPr>
      <w:r>
        <w:rPr>
          <w:rFonts w:hint="eastAsia" w:asciiTheme="minorEastAsia" w:hAnsiTheme="minorEastAsia"/>
          <w:b/>
          <w:sz w:val="28"/>
          <w:szCs w:val="28"/>
        </w:rPr>
        <w:t>内师院发〔2017〕88号</w:t>
      </w:r>
    </w:p>
    <w:p>
      <w:pPr>
        <w:adjustRightInd w:val="0"/>
        <w:snapToGrid w:val="0"/>
        <w:spacing w:line="560" w:lineRule="exact"/>
        <w:rPr>
          <w:rFonts w:ascii="方正仿宋简体" w:hAnsi="宋体" w:eastAsia="方正仿宋简体"/>
          <w:szCs w:val="32"/>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全面推进素质教育，培养学生创新精神和实践能力，鼓励学生在学好专业基础知识的同时积极参加各级科研课题研究、科研论文撰写、发明创造、科技竞赛等科技学术活动，根据学校人才培养目标，结合学校开展创新实践活动的实际情况，特制定本办法。</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认定创新学分的成果第一作者单位应为内江师范学院，成果包括正式发表的作品、科研成果、发明创造及经认定的竞赛奖励、创业等。</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color w:val="000000"/>
          <w:sz w:val="24"/>
          <w:szCs w:val="24"/>
        </w:rPr>
        <w:t>学生在校期间，创新学分最高可充抵专业选修课程5个学分，</w:t>
      </w:r>
      <w:r>
        <w:rPr>
          <w:rFonts w:hint="eastAsia" w:asciiTheme="minorEastAsia" w:hAnsiTheme="minorEastAsia"/>
          <w:sz w:val="24"/>
          <w:szCs w:val="24"/>
        </w:rPr>
        <w:t>课程成绩认定为80分，超出部分记入学生成绩单。</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一、创新学分的认定</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创新学分评定类别</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（一）学术论文类；（二）成果类；（三）发明创造类；（四）竞赛类；（五）创业类。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创新学分评定标准</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（一）学术论文类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公开发表及在学术会议上交流的学术论文、产生一定影响的社会调查报告等。</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（二）成果类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包括学生获得的国家级、省部级科研成果奖，经鉴定评审的国家级、省部级、校级大学生科学研究和大学生创新创业训练计划项目等。经省以上部门鉴定具有应用价值并产生经济社会效益的技术成果；向社会转让、出售，产生较大效益的软科学成果；其它具有一定应用价值的成果。</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（三）发明创造类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包括各类发明、实用新型专利等，专利获准以缴证书费的收录通知书或专利授权的时间及专利证书为准。</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（四）竞赛类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按照《内江师范学院大学生学科竞赛管理办法（修订）》（内师院发〔2017〕23号）文件中的学科竞赛类别认定办法，获得一类学科竞赛奖励的个人或集体。</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（五）创业类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国内政府主办的各类创业奖的获得者，进入孵化器和内江高新技术开发区的学生创业者，经工商部门批准创办一年以上正常开展经营活动的企业创办人。</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具体评定标准见内江师范学院创新学分评定标准（附件1）。</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二、创新学分的认定程序</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每年４月教务处对当年获得的成果，进行创新学分的认定，时间不另行通知。学生当年不申请认定，视为放弃，过期学生不得以任何理由要求学校予以认定。具体程序是：</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４月中旬，学生填写《内江师范学院学生创新学分申请表》</w:t>
      </w:r>
      <w:r>
        <w:rPr>
          <w:rFonts w:hint="eastAsia" w:asciiTheme="minorEastAsia" w:hAnsiTheme="minorEastAsia"/>
          <w:color w:val="000000"/>
          <w:sz w:val="24"/>
          <w:szCs w:val="24"/>
        </w:rPr>
        <w:t>（附件2）</w:t>
      </w:r>
      <w:r>
        <w:rPr>
          <w:rFonts w:hint="eastAsia" w:asciiTheme="minorEastAsia" w:hAnsiTheme="minorEastAsia"/>
          <w:sz w:val="24"/>
          <w:szCs w:val="24"/>
        </w:rPr>
        <w:t>（附相关证明材料），经所在学院审核盖章后统一报教务处，经教务处组织评审后，四月底公布评审结果。</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５月初由教务处统一录入成绩，并认定相应的创新学分。</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在对申报的创新学分认定上有争议时，由教务处组织专家复审。</w:t>
      </w:r>
    </w:p>
    <w:p>
      <w:pPr>
        <w:adjustRightInd w:val="0"/>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三、其它</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以同一项目申请创新学分的按照就高不就低的原则执行。</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cs="宋体" w:asciiTheme="minorEastAsia" w:hAnsiTheme="minorEastAsia"/>
          <w:color w:val="000000"/>
          <w:kern w:val="0"/>
          <w:sz w:val="24"/>
          <w:szCs w:val="24"/>
        </w:rPr>
        <w:t xml:space="preserve"> 本办法自发文之日起执行，解释权归教务处</w:t>
      </w:r>
      <w:r>
        <w:rPr>
          <w:rFonts w:hint="eastAsia" w:asciiTheme="minorEastAsia" w:hAnsiTheme="minorEastAsia"/>
          <w:sz w:val="24"/>
          <w:szCs w:val="24"/>
        </w:rPr>
        <w:t>。</w:t>
      </w:r>
    </w:p>
    <w:p>
      <w:pPr>
        <w:spacing w:line="360" w:lineRule="auto"/>
        <w:rPr>
          <w:rFonts w:asciiTheme="minorEastAsia" w:hAnsiTheme="minorEastAsia"/>
          <w:sz w:val="24"/>
          <w:szCs w:val="24"/>
        </w:rPr>
      </w:pPr>
    </w:p>
    <w:p>
      <w:pPr>
        <w:spacing w:line="360" w:lineRule="auto"/>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附件</w:t>
      </w:r>
      <w:r>
        <w:rPr>
          <w:rFonts w:hint="eastAsia" w:cs="宋体" w:asciiTheme="minorEastAsia" w:hAnsiTheme="minorEastAsia"/>
          <w:color w:val="000000"/>
          <w:kern w:val="0"/>
          <w:sz w:val="24"/>
          <w:szCs w:val="24"/>
        </w:rPr>
        <w:t>：1创新学分评定标准</w:t>
      </w:r>
    </w:p>
    <w:p>
      <w:pPr>
        <w:spacing w:line="360" w:lineRule="auto"/>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附件</w:t>
      </w:r>
      <w:r>
        <w:rPr>
          <w:rFonts w:hint="eastAsia" w:cs="宋体" w:asciiTheme="minorEastAsia" w:hAnsiTheme="minorEastAsia"/>
          <w:color w:val="000000"/>
          <w:kern w:val="0"/>
          <w:sz w:val="24"/>
          <w:szCs w:val="24"/>
        </w:rPr>
        <w:t>：2内江师范学院学生创新学分申请表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2017年7月7日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jc w:val="left"/>
        <w:rPr>
          <w:rFonts w:ascii="黑体" w:hAnsi="黑体" w:eastAsia="黑体"/>
          <w:sz w:val="28"/>
          <w:szCs w:val="28"/>
        </w:rPr>
      </w:pPr>
    </w:p>
    <w:p>
      <w:pPr>
        <w:jc w:val="left"/>
        <w:rPr>
          <w:rFonts w:ascii="黑体" w:hAnsi="黑体" w:eastAsia="黑体"/>
          <w:sz w:val="28"/>
          <w:szCs w:val="28"/>
        </w:rPr>
      </w:pPr>
    </w:p>
    <w:p>
      <w:pPr>
        <w:jc w:val="left"/>
        <w:rPr>
          <w:rFonts w:ascii="黑体" w:hAnsi="黑体" w:eastAsia="黑体"/>
          <w:sz w:val="28"/>
          <w:szCs w:val="28"/>
        </w:rPr>
      </w:pPr>
    </w:p>
    <w:p>
      <w:pPr>
        <w:jc w:val="left"/>
        <w:rPr>
          <w:rFonts w:ascii="黑体" w:hAnsi="黑体" w:eastAsia="黑体"/>
          <w:b/>
          <w:sz w:val="28"/>
          <w:szCs w:val="28"/>
        </w:rPr>
      </w:pPr>
      <w:r>
        <w:rPr>
          <w:rFonts w:ascii="黑体" w:hAnsi="黑体" w:eastAsia="黑体"/>
          <w:b/>
          <w:sz w:val="28"/>
          <w:szCs w:val="28"/>
        </w:rPr>
        <w:t>附件</w:t>
      </w:r>
      <w:r>
        <w:rPr>
          <w:rFonts w:hint="eastAsia" w:ascii="黑体" w:hAnsi="黑体" w:eastAsia="黑体"/>
          <w:b/>
          <w:sz w:val="28"/>
          <w:szCs w:val="28"/>
        </w:rPr>
        <w:t>1</w:t>
      </w:r>
    </w:p>
    <w:p>
      <w:pPr>
        <w:ind w:firstLine="643" w:firstLineChars="200"/>
        <w:jc w:val="center"/>
        <w:rPr>
          <w:rFonts w:ascii="黑体" w:hAnsi="黑体" w:eastAsia="黑体"/>
          <w:b/>
          <w:sz w:val="32"/>
          <w:szCs w:val="32"/>
        </w:rPr>
      </w:pPr>
      <w:r>
        <w:rPr>
          <w:rFonts w:hint="eastAsia" w:ascii="黑体" w:hAnsi="黑体" w:eastAsia="黑体"/>
          <w:b/>
          <w:sz w:val="32"/>
          <w:szCs w:val="32"/>
        </w:rPr>
        <w:t>创新学分评定标准</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791"/>
        <w:gridCol w:w="2396"/>
        <w:gridCol w:w="148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9"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类别</w:t>
            </w:r>
          </w:p>
        </w:tc>
        <w:tc>
          <w:tcPr>
            <w:tcW w:w="1791"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级别（类型）</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成果排序（等级）</w:t>
            </w:r>
          </w:p>
        </w:tc>
        <w:tc>
          <w:tcPr>
            <w:tcW w:w="1487" w:type="dxa"/>
            <w:vAlign w:val="center"/>
          </w:tcPr>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创新学分值</w:t>
            </w:r>
          </w:p>
        </w:tc>
        <w:tc>
          <w:tcPr>
            <w:tcW w:w="1985"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学术论文类</w:t>
            </w:r>
          </w:p>
        </w:tc>
        <w:tc>
          <w:tcPr>
            <w:tcW w:w="1791" w:type="dxa"/>
            <w:vAlign w:val="center"/>
          </w:tcPr>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核心期刊</w:t>
            </w:r>
          </w:p>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（不含增刊）</w:t>
            </w:r>
          </w:p>
        </w:tc>
        <w:tc>
          <w:tcPr>
            <w:tcW w:w="2396" w:type="dxa"/>
            <w:vAlign w:val="center"/>
          </w:tcPr>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独撰或第一作者</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4</w:t>
            </w:r>
          </w:p>
        </w:tc>
        <w:tc>
          <w:tcPr>
            <w:tcW w:w="1985" w:type="dxa"/>
            <w:vMerge w:val="restart"/>
            <w:vAlign w:val="center"/>
          </w:tcPr>
          <w:p>
            <w:pPr>
              <w:adjustRightInd w:val="0"/>
              <w:snapToGrid w:val="0"/>
              <w:rPr>
                <w:rFonts w:ascii="方正仿宋简体" w:hAnsi="宋体" w:eastAsia="方正仿宋简体"/>
                <w:szCs w:val="21"/>
              </w:rPr>
            </w:pPr>
            <w:r>
              <w:rPr>
                <w:rFonts w:hint="eastAsia" w:ascii="方正仿宋简体" w:hAnsi="宋体" w:eastAsia="方正仿宋简体"/>
                <w:szCs w:val="21"/>
              </w:rPr>
              <w:t>指导老师是第一作者，学生是第二作者视为第一作者。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Align w:val="center"/>
          </w:tcPr>
          <w:p>
            <w:pPr>
              <w:jc w:val="center"/>
              <w:rPr>
                <w:rFonts w:ascii="方正仿宋简体" w:hAnsi="宋体" w:eastAsia="方正仿宋简体"/>
                <w:szCs w:val="21"/>
              </w:rPr>
            </w:pPr>
            <w:r>
              <w:rPr>
                <w:rFonts w:hint="eastAsia" w:ascii="方正仿宋简体" w:hAnsi="宋体" w:eastAsia="方正仿宋简体"/>
                <w:szCs w:val="21"/>
              </w:rPr>
              <w:t>公开刊物</w:t>
            </w:r>
          </w:p>
          <w:p>
            <w:pPr>
              <w:jc w:val="center"/>
              <w:rPr>
                <w:rFonts w:ascii="方正仿宋简体" w:hAnsi="宋体" w:eastAsia="方正仿宋简体"/>
                <w:szCs w:val="21"/>
              </w:rPr>
            </w:pPr>
            <w:r>
              <w:rPr>
                <w:rFonts w:hint="eastAsia" w:ascii="方正仿宋简体" w:hAnsi="宋体" w:eastAsia="方正仿宋简体"/>
                <w:szCs w:val="21"/>
              </w:rPr>
              <w:t>（不含增刊）</w:t>
            </w:r>
          </w:p>
        </w:tc>
        <w:tc>
          <w:tcPr>
            <w:tcW w:w="2396" w:type="dxa"/>
            <w:vAlign w:val="center"/>
          </w:tcPr>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独立完成</w:t>
            </w:r>
          </w:p>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（第一作者）</w:t>
            </w:r>
          </w:p>
        </w:tc>
        <w:tc>
          <w:tcPr>
            <w:tcW w:w="1487" w:type="dxa"/>
            <w:vAlign w:val="center"/>
          </w:tcPr>
          <w:p>
            <w:pPr>
              <w:jc w:val="center"/>
              <w:rPr>
                <w:rFonts w:ascii="方正仿宋简体" w:hAnsi="宋体" w:eastAsia="方正仿宋简体"/>
                <w:szCs w:val="21"/>
              </w:rPr>
            </w:pPr>
            <w:r>
              <w:rPr>
                <w:rFonts w:hint="eastAsia" w:ascii="方正仿宋简体" w:hAnsi="宋体" w:eastAsia="方正仿宋简体"/>
                <w:szCs w:val="21"/>
              </w:rPr>
              <w:t>2</w:t>
            </w:r>
          </w:p>
        </w:tc>
        <w:tc>
          <w:tcPr>
            <w:tcW w:w="1985" w:type="dxa"/>
            <w:vMerge w:val="continue"/>
            <w:vAlign w:val="center"/>
          </w:tcPr>
          <w:p>
            <w:pPr>
              <w:spacing w:line="360" w:lineRule="auto"/>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成果类</w:t>
            </w:r>
          </w:p>
        </w:tc>
        <w:tc>
          <w:tcPr>
            <w:tcW w:w="1791"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国家级</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项目负责人</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５</w:t>
            </w:r>
          </w:p>
        </w:tc>
        <w:tc>
          <w:tcPr>
            <w:tcW w:w="1985" w:type="dxa"/>
            <w:vMerge w:val="restart"/>
            <w:vAlign w:val="center"/>
          </w:tcPr>
          <w:p>
            <w:pPr>
              <w:adjustRightInd w:val="0"/>
              <w:snapToGrid w:val="0"/>
              <w:spacing w:line="360" w:lineRule="auto"/>
              <w:jc w:val="center"/>
              <w:rPr>
                <w:rFonts w:ascii="方正仿宋简体" w:hAnsi="宋体" w:eastAsia="方正仿宋简体"/>
                <w:szCs w:val="21"/>
              </w:rPr>
            </w:pPr>
            <w:r>
              <w:rPr>
                <w:rFonts w:hint="eastAsia" w:ascii="方正仿宋简体" w:hAnsi="宋体" w:eastAsia="方正仿宋简体"/>
                <w:szCs w:val="21"/>
              </w:rPr>
              <w:t>参研人指成果排序前4人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continue"/>
            <w:vAlign w:val="center"/>
          </w:tcPr>
          <w:p>
            <w:pPr>
              <w:spacing w:line="360" w:lineRule="auto"/>
              <w:jc w:val="center"/>
              <w:rPr>
                <w:rFonts w:ascii="方正仿宋简体" w:hAnsi="宋体" w:eastAsia="方正仿宋简体"/>
                <w:szCs w:val="21"/>
              </w:rPr>
            </w:pP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参  研 人</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2-3</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省  级</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项目负责人</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4</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continue"/>
            <w:vAlign w:val="center"/>
          </w:tcPr>
          <w:p>
            <w:pPr>
              <w:spacing w:line="360" w:lineRule="auto"/>
              <w:jc w:val="center"/>
              <w:rPr>
                <w:rFonts w:ascii="方正仿宋简体" w:hAnsi="宋体" w:eastAsia="方正仿宋简体"/>
                <w:szCs w:val="21"/>
              </w:rPr>
            </w:pP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参  研  人</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1-2</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校  级</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项目负责人</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2</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发明创造类</w:t>
            </w:r>
          </w:p>
        </w:tc>
        <w:tc>
          <w:tcPr>
            <w:tcW w:w="1791" w:type="dxa"/>
            <w:vAlign w:val="center"/>
          </w:tcPr>
          <w:p>
            <w:pPr>
              <w:widowControl/>
              <w:adjustRightInd w:val="0"/>
              <w:snapToGrid w:val="0"/>
              <w:spacing w:line="375" w:lineRule="atLeast"/>
              <w:jc w:val="center"/>
              <w:rPr>
                <w:rFonts w:ascii="方正仿宋简体" w:hAnsi="宋体" w:eastAsia="方正仿宋简体"/>
                <w:szCs w:val="21"/>
              </w:rPr>
            </w:pPr>
            <w:r>
              <w:rPr>
                <w:rFonts w:hint="eastAsia" w:ascii="方正仿宋简体" w:hAnsi="宋体" w:eastAsia="方正仿宋简体"/>
                <w:szCs w:val="21"/>
              </w:rPr>
              <w:t>发明专利</w:t>
            </w:r>
          </w:p>
        </w:tc>
        <w:tc>
          <w:tcPr>
            <w:tcW w:w="2396" w:type="dxa"/>
            <w:vAlign w:val="center"/>
          </w:tcPr>
          <w:p>
            <w:pPr>
              <w:adjustRightInd w:val="0"/>
              <w:snapToGrid w:val="0"/>
              <w:spacing w:line="360" w:lineRule="auto"/>
              <w:jc w:val="center"/>
              <w:rPr>
                <w:rFonts w:ascii="方正仿宋简体" w:hAnsi="宋体" w:eastAsia="方正仿宋简体"/>
                <w:szCs w:val="21"/>
              </w:rPr>
            </w:pPr>
            <w:r>
              <w:rPr>
                <w:rFonts w:ascii="方正仿宋简体" w:hAnsi="宋体" w:eastAsia="方正仿宋简体"/>
                <w:szCs w:val="21"/>
              </w:rPr>
              <w:t>第一发明人</w:t>
            </w:r>
          </w:p>
        </w:tc>
        <w:tc>
          <w:tcPr>
            <w:tcW w:w="1487" w:type="dxa"/>
            <w:vAlign w:val="center"/>
          </w:tcPr>
          <w:p>
            <w:pPr>
              <w:widowControl/>
              <w:adjustRightInd w:val="0"/>
              <w:snapToGrid w:val="0"/>
              <w:spacing w:line="375" w:lineRule="atLeast"/>
              <w:jc w:val="center"/>
              <w:rPr>
                <w:rFonts w:ascii="方正仿宋简体" w:hAnsi="宋体" w:eastAsia="方正仿宋简体"/>
                <w:szCs w:val="21"/>
              </w:rPr>
            </w:pPr>
            <w:r>
              <w:rPr>
                <w:rFonts w:hint="eastAsia" w:ascii="方正仿宋简体" w:hAnsi="宋体" w:eastAsia="方正仿宋简体"/>
                <w:szCs w:val="21"/>
              </w:rPr>
              <w:t>5</w:t>
            </w:r>
          </w:p>
        </w:tc>
        <w:tc>
          <w:tcPr>
            <w:tcW w:w="1985" w:type="dxa"/>
            <w:vMerge w:val="restart"/>
            <w:vAlign w:val="center"/>
          </w:tcPr>
          <w:p>
            <w:pPr>
              <w:adjustRightInd w:val="0"/>
              <w:snapToGrid w:val="0"/>
              <w:jc w:val="left"/>
              <w:rPr>
                <w:rFonts w:ascii="方正仿宋简体" w:hAnsi="宋体" w:eastAsia="方正仿宋简体"/>
                <w:szCs w:val="21"/>
              </w:rPr>
            </w:pPr>
            <w:r>
              <w:rPr>
                <w:rFonts w:hint="eastAsia" w:ascii="方正仿宋简体" w:hAnsi="宋体" w:eastAsia="方正仿宋简体"/>
                <w:szCs w:val="21"/>
              </w:rPr>
              <w:t>指导老师是第一发明人（著作权人），学生是第二发明人（著作权人）视为第一发明人或第一著作权人。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Align w:val="center"/>
          </w:tcPr>
          <w:p>
            <w:pPr>
              <w:widowControl/>
              <w:adjustRightInd w:val="0"/>
              <w:snapToGrid w:val="0"/>
              <w:jc w:val="center"/>
              <w:rPr>
                <w:rFonts w:ascii="方正仿宋简体" w:hAnsi="宋体" w:eastAsia="方正仿宋简体"/>
                <w:szCs w:val="21"/>
              </w:rPr>
            </w:pPr>
            <w:r>
              <w:rPr>
                <w:rFonts w:hint="eastAsia" w:ascii="方正仿宋简体" w:hAnsi="宋体" w:eastAsia="方正仿宋简体"/>
                <w:szCs w:val="21"/>
              </w:rPr>
              <w:t>实用新型专利</w:t>
            </w:r>
          </w:p>
          <w:p>
            <w:pPr>
              <w:widowControl/>
              <w:adjustRightInd w:val="0"/>
              <w:snapToGrid w:val="0"/>
              <w:jc w:val="center"/>
              <w:rPr>
                <w:rFonts w:ascii="方正仿宋简体" w:hAnsi="宋体" w:eastAsia="方正仿宋简体"/>
                <w:szCs w:val="21"/>
              </w:rPr>
            </w:pPr>
            <w:r>
              <w:rPr>
                <w:rFonts w:hint="eastAsia" w:ascii="方正仿宋简体" w:hAnsi="宋体" w:eastAsia="方正仿宋简体"/>
                <w:szCs w:val="21"/>
              </w:rPr>
              <w:t>外观设计专利</w:t>
            </w:r>
          </w:p>
          <w:p>
            <w:pPr>
              <w:widowControl/>
              <w:adjustRightInd w:val="0"/>
              <w:snapToGrid w:val="0"/>
              <w:jc w:val="center"/>
              <w:rPr>
                <w:rFonts w:ascii="方正仿宋简体" w:hAnsi="宋体" w:eastAsia="方正仿宋简体"/>
                <w:szCs w:val="21"/>
              </w:rPr>
            </w:pPr>
            <w:r>
              <w:rPr>
                <w:rFonts w:hint="eastAsia" w:ascii="方正仿宋简体" w:hAnsi="宋体" w:eastAsia="方正仿宋简体"/>
                <w:szCs w:val="21"/>
              </w:rPr>
              <w:t>软件著作权</w:t>
            </w:r>
          </w:p>
        </w:tc>
        <w:tc>
          <w:tcPr>
            <w:tcW w:w="2396" w:type="dxa"/>
            <w:vAlign w:val="center"/>
          </w:tcPr>
          <w:p>
            <w:pPr>
              <w:adjustRightInd w:val="0"/>
              <w:snapToGrid w:val="0"/>
              <w:jc w:val="center"/>
              <w:rPr>
                <w:rFonts w:ascii="方正仿宋简体" w:hAnsi="宋体" w:eastAsia="方正仿宋简体"/>
                <w:szCs w:val="21"/>
              </w:rPr>
            </w:pPr>
            <w:r>
              <w:rPr>
                <w:rFonts w:ascii="方正仿宋简体" w:hAnsi="宋体" w:eastAsia="方正仿宋简体"/>
                <w:szCs w:val="21"/>
              </w:rPr>
              <w:t>第一发明人</w:t>
            </w:r>
          </w:p>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第一著作权人</w:t>
            </w:r>
          </w:p>
        </w:tc>
        <w:tc>
          <w:tcPr>
            <w:tcW w:w="1487" w:type="dxa"/>
            <w:vAlign w:val="center"/>
          </w:tcPr>
          <w:p>
            <w:pPr>
              <w:widowControl/>
              <w:spacing w:after="225" w:line="375" w:lineRule="atLeast"/>
              <w:jc w:val="center"/>
              <w:rPr>
                <w:rFonts w:ascii="方正仿宋简体" w:hAnsi="宋体" w:eastAsia="方正仿宋简体"/>
                <w:szCs w:val="21"/>
              </w:rPr>
            </w:pPr>
            <w:r>
              <w:rPr>
                <w:rFonts w:hint="eastAsia" w:ascii="方正仿宋简体" w:hAnsi="宋体" w:eastAsia="方正仿宋简体"/>
                <w:szCs w:val="21"/>
              </w:rPr>
              <w:t>3</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restart"/>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竞赛类</w:t>
            </w:r>
          </w:p>
        </w:tc>
        <w:tc>
          <w:tcPr>
            <w:tcW w:w="1791" w:type="dxa"/>
            <w:vMerge w:val="restart"/>
            <w:vAlign w:val="center"/>
          </w:tcPr>
          <w:p>
            <w:pPr>
              <w:widowControl/>
              <w:spacing w:after="225" w:line="375" w:lineRule="atLeast"/>
              <w:jc w:val="center"/>
              <w:rPr>
                <w:rFonts w:ascii="方正仿宋简体" w:hAnsi="宋体" w:eastAsia="方正仿宋简体"/>
                <w:szCs w:val="21"/>
              </w:rPr>
            </w:pPr>
            <w:r>
              <w:rPr>
                <w:rFonts w:hint="eastAsia" w:ascii="方正仿宋简体" w:hAnsi="宋体" w:eastAsia="方正仿宋简体"/>
                <w:szCs w:val="21"/>
              </w:rPr>
              <w:t>国家（国际）级</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一等奖</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５</w:t>
            </w:r>
          </w:p>
        </w:tc>
        <w:tc>
          <w:tcPr>
            <w:tcW w:w="1985" w:type="dxa"/>
            <w:vMerge w:val="restart"/>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continue"/>
            <w:vAlign w:val="center"/>
          </w:tcPr>
          <w:p>
            <w:pPr>
              <w:widowControl/>
              <w:spacing w:after="225" w:line="375" w:lineRule="atLeast"/>
              <w:jc w:val="center"/>
              <w:rPr>
                <w:rFonts w:ascii="方正仿宋简体" w:hAnsi="宋体" w:eastAsia="方正仿宋简体"/>
                <w:szCs w:val="21"/>
              </w:rPr>
            </w:pP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二等奖</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4</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restart"/>
            <w:vAlign w:val="center"/>
          </w:tcPr>
          <w:p>
            <w:pPr>
              <w:widowControl/>
              <w:spacing w:after="225" w:line="375" w:lineRule="atLeast"/>
              <w:jc w:val="center"/>
              <w:rPr>
                <w:rFonts w:ascii="方正仿宋简体" w:hAnsi="宋体" w:eastAsia="方正仿宋简体"/>
                <w:szCs w:val="21"/>
              </w:rPr>
            </w:pPr>
            <w:r>
              <w:rPr>
                <w:rFonts w:hint="eastAsia" w:ascii="方正仿宋简体" w:hAnsi="宋体" w:eastAsia="方正仿宋简体"/>
                <w:szCs w:val="21"/>
              </w:rPr>
              <w:t>省  级</w:t>
            </w: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一等奖</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3</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continue"/>
            <w:vAlign w:val="center"/>
          </w:tcPr>
          <w:p>
            <w:pPr>
              <w:widowControl/>
              <w:spacing w:after="225" w:line="375" w:lineRule="atLeast"/>
              <w:jc w:val="center"/>
              <w:rPr>
                <w:rFonts w:ascii="方正仿宋简体" w:hAnsi="宋体" w:eastAsia="方正仿宋简体"/>
                <w:szCs w:val="21"/>
              </w:rPr>
            </w:pP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二等奖</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2</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99" w:type="dxa"/>
            <w:vMerge w:val="continue"/>
            <w:vAlign w:val="center"/>
          </w:tcPr>
          <w:p>
            <w:pPr>
              <w:spacing w:line="360" w:lineRule="auto"/>
              <w:jc w:val="center"/>
              <w:rPr>
                <w:rFonts w:ascii="方正仿宋简体" w:hAnsi="宋体" w:eastAsia="方正仿宋简体"/>
                <w:szCs w:val="21"/>
              </w:rPr>
            </w:pPr>
          </w:p>
        </w:tc>
        <w:tc>
          <w:tcPr>
            <w:tcW w:w="1791" w:type="dxa"/>
            <w:vMerge w:val="continue"/>
            <w:vAlign w:val="center"/>
          </w:tcPr>
          <w:p>
            <w:pPr>
              <w:widowControl/>
              <w:spacing w:after="225" w:line="375" w:lineRule="atLeast"/>
              <w:jc w:val="center"/>
              <w:rPr>
                <w:rFonts w:ascii="方正仿宋简体" w:hAnsi="宋体" w:eastAsia="方正仿宋简体"/>
                <w:szCs w:val="21"/>
              </w:rPr>
            </w:pPr>
          </w:p>
        </w:tc>
        <w:tc>
          <w:tcPr>
            <w:tcW w:w="2396"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三等奖</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1</w:t>
            </w:r>
          </w:p>
        </w:tc>
        <w:tc>
          <w:tcPr>
            <w:tcW w:w="1985" w:type="dxa"/>
            <w:vMerge w:val="continue"/>
            <w:vAlign w:val="center"/>
          </w:tcPr>
          <w:p>
            <w:pPr>
              <w:spacing w:line="360" w:lineRule="auto"/>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486" w:type="dxa"/>
            <w:gridSpan w:val="3"/>
            <w:vAlign w:val="center"/>
          </w:tcPr>
          <w:p>
            <w:pPr>
              <w:spacing w:line="360" w:lineRule="auto"/>
              <w:jc w:val="left"/>
              <w:rPr>
                <w:rFonts w:ascii="方正仿宋简体" w:hAnsi="宋体" w:eastAsia="方正仿宋简体"/>
                <w:szCs w:val="21"/>
              </w:rPr>
            </w:pPr>
            <w:r>
              <w:rPr>
                <w:rFonts w:hint="eastAsia" w:ascii="方正仿宋简体" w:hAnsi="宋体" w:eastAsia="方正仿宋简体"/>
                <w:szCs w:val="21"/>
              </w:rPr>
              <w:t>创业类</w:t>
            </w:r>
          </w:p>
        </w:tc>
        <w:tc>
          <w:tcPr>
            <w:tcW w:w="1487" w:type="dxa"/>
            <w:vAlign w:val="center"/>
          </w:tcPr>
          <w:p>
            <w:pPr>
              <w:spacing w:line="360" w:lineRule="auto"/>
              <w:jc w:val="center"/>
              <w:rPr>
                <w:rFonts w:ascii="方正仿宋简体" w:hAnsi="宋体" w:eastAsia="方正仿宋简体"/>
                <w:szCs w:val="21"/>
              </w:rPr>
            </w:pPr>
            <w:r>
              <w:rPr>
                <w:rFonts w:hint="eastAsia" w:ascii="方正仿宋简体" w:hAnsi="宋体" w:eastAsia="方正仿宋简体"/>
                <w:szCs w:val="21"/>
              </w:rPr>
              <w:t>５</w:t>
            </w:r>
          </w:p>
        </w:tc>
        <w:tc>
          <w:tcPr>
            <w:tcW w:w="1985" w:type="dxa"/>
            <w:vAlign w:val="center"/>
          </w:tcPr>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创业奖获得者</w:t>
            </w:r>
          </w:p>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学生创业者</w:t>
            </w:r>
          </w:p>
          <w:p>
            <w:pPr>
              <w:adjustRightInd w:val="0"/>
              <w:snapToGrid w:val="0"/>
              <w:jc w:val="center"/>
              <w:rPr>
                <w:rFonts w:ascii="方正仿宋简体" w:hAnsi="宋体" w:eastAsia="方正仿宋简体"/>
                <w:szCs w:val="21"/>
              </w:rPr>
            </w:pPr>
            <w:r>
              <w:rPr>
                <w:rFonts w:hint="eastAsia" w:ascii="方正仿宋简体" w:hAnsi="宋体" w:eastAsia="方正仿宋简体"/>
                <w:szCs w:val="21"/>
              </w:rPr>
              <w:t>企业创办人</w:t>
            </w:r>
          </w:p>
        </w:tc>
      </w:tr>
    </w:tbl>
    <w:p>
      <w:pPr>
        <w:jc w:val="left"/>
        <w:rPr>
          <w:rFonts w:hint="eastAsia" w:ascii="黑体" w:hAnsi="黑体" w:eastAsia="黑体"/>
          <w:sz w:val="28"/>
          <w:szCs w:val="28"/>
        </w:rPr>
      </w:pPr>
    </w:p>
    <w:p>
      <w:pPr>
        <w:jc w:val="left"/>
        <w:rPr>
          <w:rFonts w:hint="eastAsia" w:ascii="黑体" w:hAnsi="黑体" w:eastAsia="黑体"/>
          <w:sz w:val="28"/>
          <w:szCs w:val="28"/>
        </w:rPr>
      </w:pPr>
    </w:p>
    <w:p>
      <w:pPr>
        <w:jc w:val="left"/>
        <w:rPr>
          <w:rFonts w:hint="eastAsia" w:ascii="黑体" w:hAnsi="黑体" w:eastAsia="黑体"/>
          <w:sz w:val="28"/>
          <w:szCs w:val="28"/>
        </w:rPr>
      </w:pPr>
    </w:p>
    <w:p>
      <w:pPr>
        <w:jc w:val="left"/>
        <w:rPr>
          <w:rFonts w:hint="eastAsia" w:ascii="黑体" w:hAnsi="黑体" w:eastAsia="黑体"/>
          <w:sz w:val="28"/>
          <w:szCs w:val="28"/>
        </w:rPr>
      </w:pPr>
    </w:p>
    <w:p>
      <w:pPr>
        <w:jc w:val="left"/>
        <w:rPr>
          <w:rFonts w:hint="eastAsia" w:ascii="黑体" w:hAnsi="黑体" w:eastAsia="黑体"/>
          <w:sz w:val="28"/>
          <w:szCs w:val="28"/>
        </w:rPr>
      </w:pPr>
    </w:p>
    <w:p>
      <w:pPr>
        <w:jc w:val="left"/>
        <w:rPr>
          <w:rFonts w:ascii="黑体" w:hAnsi="黑体" w:eastAsia="黑体"/>
          <w:b/>
          <w:sz w:val="28"/>
          <w:szCs w:val="28"/>
        </w:rPr>
      </w:pPr>
      <w:r>
        <w:rPr>
          <w:rFonts w:ascii="黑体" w:hAnsi="黑体" w:eastAsia="黑体"/>
          <w:b/>
          <w:sz w:val="28"/>
          <w:szCs w:val="28"/>
        </w:rPr>
        <w:t>附件</w:t>
      </w:r>
      <w:r>
        <w:rPr>
          <w:rFonts w:hint="eastAsia" w:ascii="黑体" w:hAnsi="黑体" w:eastAsia="黑体"/>
          <w:b/>
          <w:sz w:val="28"/>
          <w:szCs w:val="28"/>
        </w:rPr>
        <w:t>2</w:t>
      </w:r>
    </w:p>
    <w:p>
      <w:pPr>
        <w:jc w:val="center"/>
        <w:rPr>
          <w:rFonts w:ascii="黑体" w:hAnsi="黑体" w:eastAsia="黑体"/>
          <w:b/>
          <w:sz w:val="32"/>
          <w:szCs w:val="32"/>
        </w:rPr>
      </w:pPr>
      <w:r>
        <w:rPr>
          <w:rFonts w:hint="eastAsia" w:ascii="黑体" w:hAnsi="黑体" w:eastAsia="黑体"/>
          <w:b/>
          <w:sz w:val="32"/>
          <w:szCs w:val="32"/>
        </w:rPr>
        <w:t>内江师范学院学生创新学分申请表</w:t>
      </w:r>
    </w:p>
    <w:tbl>
      <w:tblPr>
        <w:tblStyle w:val="1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5"/>
        <w:gridCol w:w="2226"/>
        <w:gridCol w:w="1740"/>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4" w:type="dxa"/>
            <w:gridSpan w:val="2"/>
            <w:vAlign w:val="center"/>
          </w:tcPr>
          <w:p>
            <w:pPr>
              <w:jc w:val="center"/>
              <w:rPr>
                <w:rFonts w:ascii="方正仿宋简体" w:hAnsi="宋体" w:eastAsia="方正仿宋简体"/>
                <w:szCs w:val="21"/>
              </w:rPr>
            </w:pPr>
            <w:r>
              <w:rPr>
                <w:rFonts w:hint="eastAsia" w:ascii="方正仿宋简体" w:hAnsi="宋体" w:eastAsia="方正仿宋简体"/>
                <w:szCs w:val="21"/>
              </w:rPr>
              <w:t>申请人姓名</w:t>
            </w:r>
          </w:p>
        </w:tc>
        <w:tc>
          <w:tcPr>
            <w:tcW w:w="2226" w:type="dxa"/>
            <w:vAlign w:val="center"/>
          </w:tcPr>
          <w:p>
            <w:pPr>
              <w:jc w:val="center"/>
              <w:rPr>
                <w:rFonts w:ascii="方正仿宋简体" w:hAnsi="宋体" w:eastAsia="方正仿宋简体"/>
                <w:szCs w:val="21"/>
              </w:rPr>
            </w:pPr>
          </w:p>
        </w:tc>
        <w:tc>
          <w:tcPr>
            <w:tcW w:w="1740" w:type="dxa"/>
            <w:vAlign w:val="center"/>
          </w:tcPr>
          <w:p>
            <w:pPr>
              <w:jc w:val="center"/>
              <w:rPr>
                <w:rFonts w:ascii="方正仿宋简体" w:hAnsi="宋体" w:eastAsia="方正仿宋简体"/>
                <w:szCs w:val="21"/>
              </w:rPr>
            </w:pPr>
            <w:r>
              <w:rPr>
                <w:rFonts w:hint="eastAsia" w:ascii="方正仿宋简体" w:hAnsi="宋体" w:eastAsia="方正仿宋简体"/>
                <w:szCs w:val="21"/>
              </w:rPr>
              <w:t>申请人学号</w:t>
            </w:r>
          </w:p>
        </w:tc>
        <w:tc>
          <w:tcPr>
            <w:tcW w:w="2954" w:type="dxa"/>
            <w:vAlign w:val="center"/>
          </w:tcPr>
          <w:p>
            <w:pPr>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4" w:type="dxa"/>
            <w:gridSpan w:val="2"/>
            <w:vAlign w:val="center"/>
          </w:tcPr>
          <w:p>
            <w:pPr>
              <w:jc w:val="center"/>
              <w:rPr>
                <w:rFonts w:ascii="方正仿宋简体" w:hAnsi="宋体" w:eastAsia="方正仿宋简体"/>
                <w:szCs w:val="21"/>
              </w:rPr>
            </w:pPr>
            <w:r>
              <w:rPr>
                <w:rFonts w:hint="eastAsia" w:ascii="方正仿宋简体" w:hAnsi="宋体" w:eastAsia="方正仿宋简体"/>
                <w:szCs w:val="21"/>
              </w:rPr>
              <w:t>学     院</w:t>
            </w:r>
          </w:p>
        </w:tc>
        <w:tc>
          <w:tcPr>
            <w:tcW w:w="2226" w:type="dxa"/>
            <w:vAlign w:val="center"/>
          </w:tcPr>
          <w:p>
            <w:pPr>
              <w:jc w:val="center"/>
              <w:rPr>
                <w:rFonts w:ascii="方正仿宋简体" w:hAnsi="宋体" w:eastAsia="方正仿宋简体"/>
                <w:szCs w:val="21"/>
              </w:rPr>
            </w:pPr>
          </w:p>
        </w:tc>
        <w:tc>
          <w:tcPr>
            <w:tcW w:w="1740" w:type="dxa"/>
            <w:vAlign w:val="center"/>
          </w:tcPr>
          <w:p>
            <w:pPr>
              <w:jc w:val="center"/>
              <w:rPr>
                <w:rFonts w:ascii="方正仿宋简体" w:hAnsi="宋体" w:eastAsia="方正仿宋简体"/>
                <w:szCs w:val="21"/>
              </w:rPr>
            </w:pPr>
            <w:r>
              <w:rPr>
                <w:rFonts w:hint="eastAsia" w:ascii="方正仿宋简体" w:hAnsi="宋体" w:eastAsia="方正仿宋简体"/>
                <w:szCs w:val="21"/>
              </w:rPr>
              <w:t>专      业</w:t>
            </w:r>
          </w:p>
        </w:tc>
        <w:tc>
          <w:tcPr>
            <w:tcW w:w="2954" w:type="dxa"/>
            <w:vAlign w:val="center"/>
          </w:tcPr>
          <w:p>
            <w:pPr>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84" w:type="dxa"/>
            <w:gridSpan w:val="2"/>
            <w:vAlign w:val="center"/>
          </w:tcPr>
          <w:p>
            <w:pPr>
              <w:adjustRightInd w:val="0"/>
              <w:snapToGrid w:val="0"/>
              <w:ind w:firstLine="105" w:firstLineChars="50"/>
              <w:jc w:val="center"/>
              <w:rPr>
                <w:rFonts w:ascii="方正仿宋简体" w:hAnsi="宋体" w:eastAsia="方正仿宋简体"/>
                <w:szCs w:val="21"/>
              </w:rPr>
            </w:pPr>
            <w:r>
              <w:rPr>
                <w:rFonts w:hint="eastAsia" w:ascii="方正仿宋简体" w:hAnsi="宋体" w:eastAsia="方正仿宋简体"/>
                <w:szCs w:val="21"/>
              </w:rPr>
              <w:t>创新学分</w:t>
            </w:r>
          </w:p>
          <w:p>
            <w:pPr>
              <w:adjustRightInd w:val="0"/>
              <w:snapToGrid w:val="0"/>
              <w:ind w:firstLine="105" w:firstLineChars="50"/>
              <w:jc w:val="center"/>
              <w:rPr>
                <w:rFonts w:ascii="方正仿宋简体" w:hAnsi="宋体" w:eastAsia="方正仿宋简体"/>
                <w:szCs w:val="21"/>
              </w:rPr>
            </w:pPr>
            <w:r>
              <w:rPr>
                <w:rFonts w:hint="eastAsia" w:ascii="方正仿宋简体" w:hAnsi="宋体" w:eastAsia="方正仿宋简体"/>
                <w:szCs w:val="21"/>
              </w:rPr>
              <w:t>成果名称</w:t>
            </w:r>
          </w:p>
        </w:tc>
        <w:tc>
          <w:tcPr>
            <w:tcW w:w="6920" w:type="dxa"/>
            <w:gridSpan w:val="3"/>
            <w:vAlign w:val="center"/>
          </w:tcPr>
          <w:p>
            <w:pPr>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84" w:type="dxa"/>
            <w:gridSpan w:val="2"/>
            <w:vAlign w:val="center"/>
          </w:tcPr>
          <w:p>
            <w:pPr>
              <w:jc w:val="center"/>
              <w:rPr>
                <w:rFonts w:ascii="方正仿宋简体" w:hAnsi="宋体" w:eastAsia="方正仿宋简体"/>
                <w:szCs w:val="21"/>
              </w:rPr>
            </w:pPr>
            <w:r>
              <w:rPr>
                <w:rFonts w:hint="eastAsia" w:ascii="方正仿宋简体" w:hAnsi="宋体" w:eastAsia="方正仿宋简体"/>
                <w:szCs w:val="21"/>
              </w:rPr>
              <w:t>拟申请学分值</w:t>
            </w:r>
          </w:p>
        </w:tc>
        <w:tc>
          <w:tcPr>
            <w:tcW w:w="6920" w:type="dxa"/>
            <w:gridSpan w:val="3"/>
            <w:vAlign w:val="center"/>
          </w:tcPr>
          <w:p>
            <w:pPr>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084" w:type="dxa"/>
            <w:gridSpan w:val="2"/>
            <w:vAlign w:val="center"/>
          </w:tcPr>
          <w:p>
            <w:pPr>
              <w:jc w:val="center"/>
              <w:rPr>
                <w:rFonts w:ascii="方正仿宋简体" w:hAnsi="宋体" w:eastAsia="方正仿宋简体"/>
                <w:szCs w:val="21"/>
              </w:rPr>
            </w:pPr>
            <w:r>
              <w:rPr>
                <w:rFonts w:hint="eastAsia" w:ascii="方正仿宋简体" w:hAnsi="宋体" w:eastAsia="方正仿宋简体"/>
                <w:szCs w:val="21"/>
              </w:rPr>
              <w:t>申请类别</w:t>
            </w:r>
          </w:p>
        </w:tc>
        <w:tc>
          <w:tcPr>
            <w:tcW w:w="6920" w:type="dxa"/>
            <w:gridSpan w:val="3"/>
            <w:vAlign w:val="center"/>
          </w:tcPr>
          <w:p>
            <w:pPr>
              <w:rPr>
                <w:rFonts w:ascii="方正仿宋简体" w:hAnsi="宋体" w:eastAsia="方正仿宋简体"/>
                <w:szCs w:val="21"/>
              </w:rPr>
            </w:pPr>
            <w:r>
              <w:rPr>
                <w:rFonts w:hint="eastAsia" w:ascii="方正仿宋简体" w:hAnsi="宋体" w:eastAsia="方正仿宋简体"/>
                <w:szCs w:val="21"/>
              </w:rPr>
              <w:t>□学术论文类 □成果类 □发明创造类 □竞赛类 □创业类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5" w:hRule="atLeast"/>
          <w:jc w:val="center"/>
        </w:trPr>
        <w:tc>
          <w:tcPr>
            <w:tcW w:w="9004" w:type="dxa"/>
            <w:gridSpan w:val="5"/>
            <w:vAlign w:val="center"/>
          </w:tcPr>
          <w:p>
            <w:pPr>
              <w:widowControl/>
              <w:spacing w:line="320" w:lineRule="exact"/>
              <w:ind w:left="-31" w:leftChars="-15" w:right="-29" w:rightChars="-14" w:firstLine="14" w:firstLineChars="7"/>
              <w:rPr>
                <w:rFonts w:ascii="方正仿宋简体" w:hAnsi="宋体" w:eastAsia="方正仿宋简体"/>
                <w:szCs w:val="21"/>
              </w:rPr>
            </w:pPr>
            <w:r>
              <w:rPr>
                <w:rFonts w:hint="eastAsia" w:ascii="方正仿宋简体" w:hAnsi="宋体" w:eastAsia="方正仿宋简体"/>
                <w:szCs w:val="21"/>
              </w:rPr>
              <w:t>所取得的成果（附相关证明材料原件和复印件）：</w:t>
            </w: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320" w:lineRule="exact"/>
              <w:ind w:left="-31" w:leftChars="-15" w:right="-29" w:rightChars="-14" w:firstLine="14" w:firstLineChars="7"/>
              <w:rPr>
                <w:rFonts w:ascii="方正仿宋简体" w:hAnsi="宋体" w:eastAsia="方正仿宋简体"/>
                <w:szCs w:val="21"/>
              </w:rPr>
            </w:pPr>
          </w:p>
          <w:p>
            <w:pPr>
              <w:widowControl/>
              <w:spacing w:line="460" w:lineRule="exact"/>
              <w:ind w:left="598" w:leftChars="285" w:right="-29" w:rightChars="-14" w:firstLine="14" w:firstLineChars="7"/>
              <w:jc w:val="center"/>
              <w:rPr>
                <w:rFonts w:ascii="方正仿宋简体" w:hAnsi="宋体" w:eastAsia="方正仿宋简体"/>
                <w:szCs w:val="21"/>
              </w:rPr>
            </w:pPr>
            <w:r>
              <w:rPr>
                <w:rFonts w:hint="eastAsia" w:ascii="方正仿宋简体" w:hAnsi="宋体" w:eastAsia="方正仿宋简体"/>
                <w:szCs w:val="21"/>
              </w:rPr>
              <w:t xml:space="preserve">    申请人</w:t>
            </w:r>
            <w:r>
              <w:rPr>
                <w:rFonts w:ascii="方正仿宋简体" w:hAnsi="宋体" w:eastAsia="方正仿宋简体"/>
                <w:szCs w:val="21"/>
              </w:rPr>
              <w:t>(</w:t>
            </w:r>
            <w:r>
              <w:rPr>
                <w:rFonts w:hint="eastAsia" w:ascii="方正仿宋简体" w:hAnsi="宋体" w:eastAsia="方正仿宋简体"/>
                <w:szCs w:val="21"/>
              </w:rPr>
              <w:t>签字</w:t>
            </w:r>
            <w:r>
              <w:rPr>
                <w:rFonts w:ascii="方正仿宋简体" w:hAnsi="宋体" w:eastAsia="方正仿宋简体"/>
                <w:szCs w:val="21"/>
              </w:rPr>
              <w:t>)</w:t>
            </w:r>
            <w:r>
              <w:rPr>
                <w:rFonts w:hint="eastAsia" w:ascii="方正仿宋简体" w:hAnsi="宋体" w:eastAsia="方正仿宋简体"/>
                <w:szCs w:val="21"/>
              </w:rPr>
              <w:t>：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379" w:type="dxa"/>
            <w:vAlign w:val="center"/>
          </w:tcPr>
          <w:p>
            <w:pPr>
              <w:jc w:val="center"/>
              <w:rPr>
                <w:rFonts w:ascii="方正仿宋简体" w:hAnsi="宋体" w:eastAsia="方正仿宋简体"/>
                <w:szCs w:val="21"/>
              </w:rPr>
            </w:pPr>
            <w:r>
              <w:rPr>
                <w:rFonts w:hint="eastAsia" w:ascii="方正仿宋简体" w:hAnsi="宋体" w:eastAsia="方正仿宋简体"/>
                <w:szCs w:val="21"/>
              </w:rPr>
              <w:t>二级学院</w:t>
            </w:r>
          </w:p>
          <w:p>
            <w:pPr>
              <w:jc w:val="center"/>
              <w:rPr>
                <w:rFonts w:ascii="方正仿宋简体" w:hAnsi="宋体" w:eastAsia="方正仿宋简体"/>
                <w:szCs w:val="21"/>
              </w:rPr>
            </w:pPr>
            <w:r>
              <w:rPr>
                <w:rFonts w:hint="eastAsia" w:ascii="方正仿宋简体" w:hAnsi="宋体" w:eastAsia="方正仿宋简体"/>
                <w:szCs w:val="21"/>
              </w:rPr>
              <w:t>审核意见</w:t>
            </w:r>
          </w:p>
        </w:tc>
        <w:tc>
          <w:tcPr>
            <w:tcW w:w="7625" w:type="dxa"/>
            <w:gridSpan w:val="4"/>
            <w:tcBorders>
              <w:bottom w:val="single" w:color="auto" w:sz="4" w:space="0"/>
            </w:tcBorders>
          </w:tcPr>
          <w:p>
            <w:pPr>
              <w:rPr>
                <w:rFonts w:ascii="方正仿宋简体" w:hAnsi="宋体" w:eastAsia="方正仿宋简体"/>
                <w:szCs w:val="21"/>
              </w:rPr>
            </w:pPr>
          </w:p>
          <w:p>
            <w:pPr>
              <w:rPr>
                <w:rFonts w:ascii="方正仿宋简体" w:hAnsi="宋体" w:eastAsia="方正仿宋简体"/>
                <w:szCs w:val="21"/>
              </w:rPr>
            </w:pPr>
            <w:r>
              <w:rPr>
                <w:rFonts w:hint="eastAsia" w:ascii="方正仿宋简体" w:hAnsi="宋体" w:eastAsia="方正仿宋简体"/>
                <w:szCs w:val="21"/>
              </w:rPr>
              <w:t xml:space="preserve">                </w:t>
            </w:r>
          </w:p>
          <w:p>
            <w:pPr>
              <w:ind w:firstLine="1680" w:firstLineChars="800"/>
              <w:rPr>
                <w:rFonts w:ascii="方正仿宋简体" w:hAnsi="宋体" w:eastAsia="方正仿宋简体"/>
                <w:szCs w:val="21"/>
              </w:rPr>
            </w:pPr>
          </w:p>
          <w:p>
            <w:pPr>
              <w:ind w:firstLine="1680" w:firstLineChars="800"/>
              <w:rPr>
                <w:rFonts w:ascii="方正仿宋简体" w:hAnsi="宋体" w:eastAsia="方正仿宋简体"/>
                <w:szCs w:val="21"/>
              </w:rPr>
            </w:pPr>
            <w:r>
              <w:rPr>
                <w:rFonts w:hint="eastAsia" w:ascii="方正仿宋简体" w:hAnsi="宋体" w:eastAsia="方正仿宋简体"/>
                <w:szCs w:val="21"/>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1379" w:type="dxa"/>
            <w:vAlign w:val="center"/>
          </w:tcPr>
          <w:p>
            <w:pPr>
              <w:jc w:val="center"/>
              <w:rPr>
                <w:rFonts w:ascii="方正仿宋简体" w:hAnsi="宋体" w:eastAsia="方正仿宋简体"/>
                <w:szCs w:val="21"/>
              </w:rPr>
            </w:pPr>
            <w:r>
              <w:rPr>
                <w:rFonts w:hint="eastAsia" w:ascii="方正仿宋简体" w:hAnsi="宋体" w:eastAsia="方正仿宋简体"/>
                <w:szCs w:val="21"/>
              </w:rPr>
              <w:t>教 务 处</w:t>
            </w:r>
          </w:p>
          <w:p>
            <w:pPr>
              <w:jc w:val="center"/>
              <w:rPr>
                <w:rFonts w:ascii="方正仿宋简体" w:hAnsi="宋体" w:eastAsia="方正仿宋简体"/>
                <w:szCs w:val="21"/>
              </w:rPr>
            </w:pPr>
            <w:r>
              <w:rPr>
                <w:rFonts w:hint="eastAsia" w:ascii="方正仿宋简体" w:hAnsi="宋体" w:eastAsia="方正仿宋简体"/>
                <w:szCs w:val="21"/>
              </w:rPr>
              <w:t xml:space="preserve">审核意见   </w:t>
            </w:r>
          </w:p>
        </w:tc>
        <w:tc>
          <w:tcPr>
            <w:tcW w:w="7625" w:type="dxa"/>
            <w:gridSpan w:val="4"/>
            <w:vAlign w:val="center"/>
          </w:tcPr>
          <w:p>
            <w:pPr>
              <w:jc w:val="center"/>
              <w:rPr>
                <w:rFonts w:ascii="方正仿宋简体" w:hAnsi="宋体" w:eastAsia="方正仿宋简体"/>
                <w:szCs w:val="21"/>
              </w:rPr>
            </w:pPr>
          </w:p>
          <w:p>
            <w:pPr>
              <w:rPr>
                <w:rFonts w:ascii="方正仿宋简体" w:hAnsi="宋体" w:eastAsia="方正仿宋简体"/>
                <w:szCs w:val="21"/>
              </w:rPr>
            </w:pPr>
          </w:p>
          <w:p>
            <w:pPr>
              <w:rPr>
                <w:rFonts w:ascii="方正仿宋简体" w:hAnsi="宋体" w:eastAsia="方正仿宋简体"/>
                <w:szCs w:val="21"/>
              </w:rPr>
            </w:pPr>
            <w:r>
              <w:rPr>
                <w:rFonts w:hint="eastAsia" w:ascii="方正仿宋简体" w:hAnsi="宋体" w:eastAsia="方正仿宋简体"/>
                <w:szCs w:val="21"/>
              </w:rPr>
              <w:t xml:space="preserve">                负责人签章                年   月   日</w:t>
            </w:r>
          </w:p>
        </w:tc>
      </w:tr>
    </w:tbl>
    <w:p>
      <w:pPr>
        <w:widowControl/>
        <w:spacing w:before="100" w:beforeAutospacing="1" w:after="100" w:afterAutospacing="1" w:line="336" w:lineRule="auto"/>
        <w:jc w:val="left"/>
      </w:pPr>
      <w:r>
        <w:rPr>
          <w:rFonts w:hint="eastAsia" w:ascii="方正仿宋简体" w:hAnsi="宋体" w:eastAsia="方正仿宋简体"/>
          <w:szCs w:val="21"/>
        </w:rPr>
        <w:t>注：此表一式两份，教务处、二级学院各存一份。</w:t>
      </w: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ind w:firstLine="643" w:firstLineChars="200"/>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内江师范学院</w:t>
      </w:r>
    </w:p>
    <w:p>
      <w:pPr>
        <w:widowControl/>
        <w:spacing w:line="560" w:lineRule="exact"/>
        <w:ind w:firstLine="643" w:firstLineChars="200"/>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评聘基础教育兼职教师实施办法（试行）</w:t>
      </w:r>
    </w:p>
    <w:p>
      <w:pPr>
        <w:widowControl/>
        <w:spacing w:line="560" w:lineRule="exact"/>
        <w:ind w:firstLine="562" w:firstLineChars="200"/>
        <w:jc w:val="center"/>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内师院发〔2010〕121号</w:t>
      </w:r>
    </w:p>
    <w:p>
      <w:pPr>
        <w:widowControl/>
        <w:spacing w:line="480" w:lineRule="exact"/>
        <w:ind w:firstLine="562" w:firstLineChars="200"/>
        <w:jc w:val="center"/>
        <w:rPr>
          <w:rFonts w:cs="宋体" w:asciiTheme="minorEastAsia" w:hAnsiTheme="minorEastAsia"/>
          <w:b/>
          <w:color w:val="000000"/>
          <w:kern w:val="0"/>
          <w:sz w:val="28"/>
          <w:szCs w:val="28"/>
        </w:rPr>
      </w:pPr>
    </w:p>
    <w:p>
      <w:pPr>
        <w:widowControl/>
        <w:spacing w:line="46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为进一步深化基础教育（高中）课程改革，大力推进课程教材教法改革和教学研究与实践，切实提高我校基础教育师资培养质量，充分发挥长期从事基础教育教学实践的优秀教师的示范作用，现决定开展基础教育兼职教师评聘工作。</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一、目的与意义</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聘请中学教师到我校兼职，是提高我校基础教育师资培养质量的一项重要举措，是培养具有新课程理念和创新能力、适应高中课程改革需要的高素质教师的重要手段。学校积极利用中学名师资源，发挥中学优秀教师的教育智慧和积极性，直接参与对我校师范生的培养和专业发展指导，共同指导学生的课程学习和教学实践，培养基础扎实、知识面广、能力强、素质高、具有创新精神和实践能力的基础教育教师。</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聘请中学教师到高校课堂，给我校学生传授最直接最有效的教学方式和教学经验，从而使中学选人、用人的成本和风险降低，最终实现高校培养的师范生与中学所需教师的“无缝对接”。让中学教师直接参与师范生的培养和专业发展指导，学生既吸收了大学教师丰厚的理论素养，又吸收了基础教育教师的丰富的教学经验。通过这种途径加大用人单位直接培养人才的力度，使学生提前介入基础教育，了解中学课改的发展状态，为中学选择未来优秀教师提供一个良好的平台，缩短他们从教后的磨合期，使其就业后尽快进入教学角色。</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二、聘请范围与条件</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（一）聘请范围</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1.省级及其以上示范中学或省级高中课改样板学校的在岗优秀高级教师、特级教师；</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2.基础教育系统从事教育教学、教学研究及管理实践第一线，具有高级专业技术职务的人员；</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3.各市、州教科所从事基础教育研究的具有高级专业技术职称的研究人员。</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（二）聘请条件</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1.具有高尚的师德，为人师表，能发挥教书育人的示范作用；</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2.具有特级教师荣誉或中学高级教师专业技术职称，并具有良好的职业声誉和社会影响力；</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3.具有丰富的教育教学经验，曾担任中学班主任或其他学校管理工作，并胜任教学科研工作；</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4.具有主持中学教学研究项目的经历，发表有教学研究论文或出版研究论著；</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5.具有开设特色教师教育课程经历，所教学生在高考中取得较好的成绩，效果显著。</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三、工作职责</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1.参与我校基础教育与教师教育研究与实践，开展教师教育项目的合作研究，为我校教师教育改革提供咨询意见与建议，在基础教育改革实践中发挥示范、辐射作用；</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2.参与教师教育专业建设、课程建设、课程教学、实习基地建设、实习与见习指导、学生专业发展与就业、教育硕士的培养与指导等；</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3.每年为我校学生作1-2次关于基础教育课程研究改革方面的专题讲座；</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4.每年为我校相关专业学生讲授2-4次中学示范课；</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5.每年为我校相关专业学生讲授10学时左右中学教材、教法分析课。</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四、聘请程序</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1.二级学院各师范专业择优推荐2-3名中学学科教师，学校建立基础教育兼职教师专家库；</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2.学校教务处、人事处组织学科专家，负责对基础教育特聘教师人选进行评议和评审；</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3.评聘工作原则上每2年进行一次，评聘教师原则上从我校基础教育兼职教师专家库中选择，每次选出15-20名专家聘为内江师范学院基础教育兼职教师，发给聘书，每届任期一般为2年。</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五、工作待遇</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1.基础教育兼职教师享受学校发给的劳务津贴。津贴标准如下：专题讲座（半天）500元/次；示范课150元/次（1学时）；教材、教法分析课100元/次（1学时）。</w:t>
      </w:r>
    </w:p>
    <w:p>
      <w:pPr>
        <w:widowControl/>
        <w:spacing w:line="4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2.兼职教师往返学校的交通费、食宿等费用由各二级学院在业务费中报销。</w:t>
      </w:r>
    </w:p>
    <w:p>
      <w:pPr>
        <w:widowControl/>
        <w:spacing w:line="46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六、本办法未尽事宜由教务处、人事处负责解释。</w:t>
      </w:r>
    </w:p>
    <w:p>
      <w:pPr>
        <w:spacing w:line="460" w:lineRule="exact"/>
        <w:ind w:left="3574" w:hanging="3573" w:hangingChars="1489"/>
        <w:jc w:val="right"/>
        <w:rPr>
          <w:rFonts w:asciiTheme="minorEastAsia" w:hAnsiTheme="minorEastAsia"/>
          <w:sz w:val="24"/>
          <w:szCs w:val="24"/>
        </w:rPr>
      </w:pPr>
    </w:p>
    <w:p>
      <w:pPr>
        <w:spacing w:line="460" w:lineRule="exact"/>
        <w:ind w:left="3574" w:hanging="3573" w:hangingChars="1489"/>
        <w:jc w:val="right"/>
        <w:rPr>
          <w:rFonts w:asciiTheme="minorEastAsia" w:hAnsiTheme="minorEastAsia"/>
          <w:sz w:val="24"/>
          <w:szCs w:val="24"/>
        </w:rPr>
      </w:pPr>
      <w:r>
        <w:rPr>
          <w:rFonts w:hint="eastAsia" w:asciiTheme="minorEastAsia" w:hAnsiTheme="minorEastAsia"/>
          <w:sz w:val="24"/>
          <w:szCs w:val="24"/>
        </w:rPr>
        <w:t>二○一○年七月二日</w:t>
      </w: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FFFFF"/>
        <w:adjustRightInd w:val="0"/>
        <w:snapToGrid w:val="0"/>
        <w:spacing w:line="560" w:lineRule="exact"/>
        <w:jc w:val="center"/>
        <w:rPr>
          <w:rFonts w:ascii="宋体" w:hAnsi="宋体" w:cs="宋体"/>
          <w:b/>
          <w:bCs/>
          <w:color w:val="323232"/>
          <w:w w:val="90"/>
          <w:kern w:val="0"/>
          <w:sz w:val="32"/>
          <w:szCs w:val="32"/>
        </w:rPr>
      </w:pPr>
      <w:r>
        <w:rPr>
          <w:rFonts w:hint="eastAsia" w:ascii="宋体" w:hAnsi="宋体" w:cs="宋体"/>
          <w:b/>
          <w:bCs/>
          <w:color w:val="323232"/>
          <w:w w:val="90"/>
          <w:kern w:val="0"/>
          <w:sz w:val="32"/>
          <w:szCs w:val="32"/>
        </w:rPr>
        <w:t>内江师范学院实践教学基地建设管理办法（试行）</w:t>
      </w:r>
    </w:p>
    <w:p>
      <w:pPr>
        <w:widowControl/>
        <w:spacing w:line="560" w:lineRule="exact"/>
        <w:jc w:val="center"/>
        <w:rPr>
          <w:rFonts w:ascii="宋体" w:hAnsi="宋体" w:cs="宋体"/>
          <w:b/>
          <w:kern w:val="0"/>
          <w:sz w:val="28"/>
          <w:szCs w:val="28"/>
        </w:rPr>
      </w:pPr>
      <w:r>
        <w:rPr>
          <w:rFonts w:hint="eastAsia" w:ascii="宋体" w:hAnsi="宋体" w:cs="宋体"/>
          <w:b/>
          <w:kern w:val="0"/>
          <w:sz w:val="28"/>
          <w:szCs w:val="28"/>
        </w:rPr>
        <w:t>内师院发〔</w:t>
      </w:r>
      <w:r>
        <w:rPr>
          <w:rFonts w:ascii="宋体" w:hAnsi="宋体" w:cs="宋体"/>
          <w:b/>
          <w:kern w:val="0"/>
          <w:sz w:val="28"/>
          <w:szCs w:val="28"/>
        </w:rPr>
        <w:t>2018〕145号</w:t>
      </w:r>
    </w:p>
    <w:p>
      <w:pPr>
        <w:tabs>
          <w:tab w:val="left" w:pos="644"/>
          <w:tab w:val="left" w:pos="1288"/>
          <w:tab w:val="left" w:pos="1917"/>
        </w:tabs>
        <w:overflowPunct w:val="0"/>
        <w:snapToGrid w:val="0"/>
        <w:spacing w:line="560" w:lineRule="exact"/>
        <w:jc w:val="center"/>
        <w:outlineLvl w:val="0"/>
        <w:rPr>
          <w:rFonts w:ascii="宋体" w:hAnsi="宋体"/>
          <w:b/>
          <w:color w:val="000000"/>
          <w:sz w:val="30"/>
          <w:szCs w:val="30"/>
        </w:rPr>
      </w:pPr>
    </w:p>
    <w:p>
      <w:pPr>
        <w:tabs>
          <w:tab w:val="left" w:pos="644"/>
          <w:tab w:val="left" w:pos="1288"/>
          <w:tab w:val="left" w:pos="1917"/>
        </w:tabs>
        <w:overflowPunct w:val="0"/>
        <w:snapToGrid w:val="0"/>
        <w:spacing w:line="580" w:lineRule="exact"/>
        <w:jc w:val="center"/>
        <w:outlineLvl w:val="0"/>
        <w:rPr>
          <w:rFonts w:ascii="宋体" w:hAnsi="宋体"/>
          <w:b/>
          <w:color w:val="000000"/>
          <w:sz w:val="24"/>
          <w:szCs w:val="24"/>
        </w:rPr>
      </w:pPr>
      <w:r>
        <w:rPr>
          <w:rFonts w:hint="eastAsia" w:ascii="宋体" w:hAnsi="宋体"/>
          <w:b/>
          <w:color w:val="000000"/>
          <w:sz w:val="24"/>
          <w:szCs w:val="24"/>
        </w:rPr>
        <w:t>第一章  总  则</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第一条  为贯彻落实《教育部等部门关于进一步加强高校实践育人工作的若干意见》（教思政〔2012〕1号）、《教育部关于开展“本科教学工程”大学生校外实践教育基地建设工作的通知》（教高函〔2012〕7号）精神，大力实施“校地结合、校企合作、产教融合”，强化实践教学环节，夯实实践教学基地建设，提高学生创新精神和实践能力，结合学校实际，特制定本办法。</w:t>
      </w:r>
    </w:p>
    <w:p>
      <w:pPr>
        <w:tabs>
          <w:tab w:val="left" w:pos="2056"/>
        </w:tabs>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第二条  实践教学基地是对学生进行实践能力训练、培养职业素质的重要场所，是实现学校人才培养目标达成度的重要条件之一，必须重视和加强实践教学基地的建设、管理、使用和维护。</w:t>
      </w:r>
    </w:p>
    <w:p>
      <w:pPr>
        <w:tabs>
          <w:tab w:val="left" w:pos="644"/>
          <w:tab w:val="left" w:pos="1273"/>
          <w:tab w:val="left" w:pos="1917"/>
        </w:tabs>
        <w:overflowPunct w:val="0"/>
        <w:snapToGrid w:val="0"/>
        <w:spacing w:line="360" w:lineRule="auto"/>
        <w:jc w:val="center"/>
        <w:outlineLvl w:val="0"/>
        <w:rPr>
          <w:rFonts w:ascii="宋体" w:hAnsi="宋体"/>
          <w:b/>
          <w:color w:val="000000"/>
          <w:sz w:val="24"/>
          <w:szCs w:val="24"/>
        </w:rPr>
      </w:pPr>
      <w:r>
        <w:rPr>
          <w:rFonts w:hint="eastAsia" w:ascii="宋体" w:hAnsi="宋体"/>
          <w:b/>
          <w:color w:val="000000"/>
          <w:sz w:val="24"/>
          <w:szCs w:val="24"/>
        </w:rPr>
        <w:t>第二章  建设目标与原则</w:t>
      </w:r>
    </w:p>
    <w:p>
      <w:pPr>
        <w:tabs>
          <w:tab w:val="left" w:pos="2040"/>
          <w:tab w:val="left" w:pos="3254"/>
        </w:tabs>
        <w:overflowPunct w:val="0"/>
        <w:snapToGrid w:val="0"/>
        <w:spacing w:line="360" w:lineRule="auto"/>
        <w:ind w:firstLine="480" w:firstLineChars="200"/>
        <w:rPr>
          <w:rFonts w:ascii="宋体" w:hAnsi="宋体"/>
          <w:color w:val="000000"/>
          <w:sz w:val="24"/>
          <w:szCs w:val="24"/>
        </w:rPr>
      </w:pPr>
      <w:bookmarkStart w:id="34" w:name="3"/>
      <w:bookmarkEnd w:id="34"/>
      <w:r>
        <w:rPr>
          <w:rFonts w:hint="eastAsia" w:ascii="宋体" w:hAnsi="宋体"/>
          <w:color w:val="000000"/>
          <w:sz w:val="24"/>
          <w:szCs w:val="24"/>
        </w:rPr>
        <w:t>第三条  实践教学基地主要承担我校学生的校外实践教学任务。通过建设实践教学基地，落实“扎根地方、追求卓越”的办学理念，探索学校发展与地方发展相互动、学科专业建设与地方需求相对接、教师教育与基础教育相融合的新机制，不断深化人才培养模式改革，努力把学生培养成为具有真诚的爱心、高度的责任心、执着的进取心，具有较强的实践操作能力、沟通协调能力、创新创业能力，具有良好的人文精神、科学精神、批判精神的高素质应用型人才。</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第四条  坚持实践教学与生产实践、就业体验相结合的原则。实践教学基地的建立要有利于培养学生的创新精神和实践能力，有利于实践教学的开展和学校实践育人体系的建设与完善。</w:t>
      </w:r>
    </w:p>
    <w:p>
      <w:pPr>
        <w:tabs>
          <w:tab w:val="left" w:pos="2025"/>
        </w:tabs>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第五条  坚持先进性和多样性的原则。实践教学基地要尽可能涵盖多个学科专业，且资源共享、机制健全。实践教学基地的生产水平、管理能力、科研工作等方面要具有一定的先进性和代表性。</w:t>
      </w:r>
    </w:p>
    <w:p>
      <w:pPr>
        <w:tabs>
          <w:tab w:val="left" w:pos="2025"/>
        </w:tabs>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第六条  坚持稳定发展、动态调整的原则。实践教学基地要保持一定的稳定性，对于一些条件好、发展稳定的实习基地要相对固定。同时，也可根据实际情况对部分实践教学基地进行动态调整，确保实践教学基地的质量。</w:t>
      </w:r>
    </w:p>
    <w:p>
      <w:pPr>
        <w:tabs>
          <w:tab w:val="left" w:pos="2025"/>
        </w:tabs>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第七条  坚持“互惠互利、责任分担、共同建设、协同发展”的原则。学校依托实践教学基地安排学生、教师到共建单位开展实践教学活动，培养学生的实践创新能力，丰富教师的实践教学经历；共建单位借助学校的学科、师资等优势资源，建立职工培训和学历提升的合作机制，并享有从实践学生中选拔优秀人才的权益。</w:t>
      </w:r>
    </w:p>
    <w:p>
      <w:pPr>
        <w:tabs>
          <w:tab w:val="left" w:pos="644"/>
          <w:tab w:val="left" w:pos="1273"/>
          <w:tab w:val="left" w:pos="1917"/>
        </w:tabs>
        <w:overflowPunct w:val="0"/>
        <w:snapToGrid w:val="0"/>
        <w:spacing w:line="360" w:lineRule="auto"/>
        <w:jc w:val="center"/>
        <w:outlineLvl w:val="0"/>
        <w:rPr>
          <w:rFonts w:ascii="宋体" w:hAnsi="宋体"/>
          <w:color w:val="000000"/>
          <w:sz w:val="24"/>
          <w:szCs w:val="24"/>
        </w:rPr>
      </w:pPr>
      <w:bookmarkStart w:id="35" w:name="4"/>
      <w:bookmarkEnd w:id="35"/>
      <w:r>
        <w:rPr>
          <w:rFonts w:hint="eastAsia" w:ascii="宋体" w:hAnsi="宋体"/>
          <w:color w:val="000000"/>
          <w:sz w:val="24"/>
          <w:szCs w:val="24"/>
        </w:rPr>
        <w:t>第三章  建设条件</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第八条  实践教学基地必须具有独立法人资格或独立承担民事责任的组织，运营正常，有承担学校实践教学任务的意愿，有与学校长期合作的积极性，有参与学校实践教学的热情。</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第九条  实践教学基地必须有接纳学生实践教学的能力，具备学生实践所需的学习、生活和劳动保护等方面的条件。</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第十条  实践教学基地必须拥有能满足实践教学所需的专业技术水平较高和现场教学经验较丰富的指导教师。</w:t>
      </w:r>
    </w:p>
    <w:p>
      <w:pPr>
        <w:tabs>
          <w:tab w:val="left" w:pos="644"/>
          <w:tab w:val="left" w:pos="1283"/>
          <w:tab w:val="left" w:pos="1917"/>
        </w:tabs>
        <w:overflowPunct w:val="0"/>
        <w:snapToGrid w:val="0"/>
        <w:spacing w:line="360" w:lineRule="auto"/>
        <w:jc w:val="center"/>
        <w:outlineLvl w:val="0"/>
        <w:rPr>
          <w:rFonts w:ascii="宋体" w:hAnsi="宋体"/>
          <w:b/>
          <w:color w:val="000000"/>
          <w:sz w:val="24"/>
          <w:szCs w:val="24"/>
        </w:rPr>
      </w:pPr>
      <w:r>
        <w:rPr>
          <w:rFonts w:hint="eastAsia" w:ascii="宋体" w:hAnsi="宋体"/>
          <w:b/>
          <w:color w:val="000000"/>
          <w:sz w:val="24"/>
          <w:szCs w:val="24"/>
        </w:rPr>
        <w:t>第四章  建设内容</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第十一条  完善管理机制。实践教学基地依托共建单位共同建设，双方围绕学生实践能力培养，探索建立可持续的合作模式，建立相关专业实践教学体系、实践项目或内容、师资队伍、条件保障、教学运行和安全保障等管理机制。</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第十二条  优化实践教学体系。以培养学生的实践操作能力、沟通协调能力、创新创业能力为目标，按照学生实践能力形成的不同阶段和认识发展的规律，共同制订实践教学目标及内容体系，共同组织实施实践教学过程，共同评价实践教学效果。</w:t>
      </w:r>
    </w:p>
    <w:p>
      <w:pPr>
        <w:overflowPunct w:val="0"/>
        <w:spacing w:line="360" w:lineRule="auto"/>
        <w:rPr>
          <w:rFonts w:ascii="宋体" w:hAnsi="宋体"/>
          <w:color w:val="000000"/>
          <w:sz w:val="24"/>
          <w:szCs w:val="24"/>
        </w:rPr>
      </w:pPr>
      <w:r>
        <w:rPr>
          <w:rFonts w:hint="eastAsia" w:ascii="宋体" w:hAnsi="宋体"/>
          <w:color w:val="000000"/>
          <w:sz w:val="24"/>
          <w:szCs w:val="24"/>
        </w:rPr>
        <w:t xml:space="preserve">    第十三条  提升师资队伍水平。指导教师队伍由学校教师和共建单位具有丰富实践经验的专业技术人员、管理人员共同组建。通过举办专兼职指导教师培训班等有效措施促进指导教师队伍的相互交流，共同参与实践教学过程，不断提高实践教学师资队伍的整体水平。</w:t>
      </w:r>
    </w:p>
    <w:p>
      <w:pPr>
        <w:overflowPunct w:val="0"/>
        <w:snapToGrid w:val="0"/>
        <w:spacing w:line="360" w:lineRule="auto"/>
        <w:ind w:firstLine="480" w:firstLineChars="200"/>
        <w:rPr>
          <w:rFonts w:ascii="宋体" w:hAnsi="宋体"/>
          <w:color w:val="000000"/>
          <w:sz w:val="24"/>
          <w:szCs w:val="24"/>
        </w:rPr>
      </w:pPr>
      <w:bookmarkStart w:id="36" w:name="5"/>
      <w:bookmarkEnd w:id="36"/>
      <w:r>
        <w:rPr>
          <w:rFonts w:hint="eastAsia" w:ascii="宋体" w:hAnsi="宋体"/>
          <w:color w:val="000000"/>
          <w:sz w:val="24"/>
          <w:szCs w:val="24"/>
        </w:rPr>
        <w:t>第十四条  建立开放共享机制。实践教学基地除主要承担对口二级学院的学生实践教学任务外，在接纳能力许可的条件下接收其他二级学院的学生进</w:t>
      </w:r>
      <w:r>
        <w:rPr>
          <w:rFonts w:hint="eastAsia" w:ascii="宋体" w:hAnsi="宋体" w:cs="Arial"/>
          <w:color w:val="000000"/>
          <w:sz w:val="24"/>
          <w:szCs w:val="24"/>
        </w:rPr>
        <w:t>入实践教学</w:t>
      </w:r>
      <w:r>
        <w:rPr>
          <w:rFonts w:hint="eastAsia" w:ascii="宋体" w:hAnsi="宋体"/>
          <w:color w:val="000000"/>
          <w:sz w:val="24"/>
          <w:szCs w:val="24"/>
        </w:rPr>
        <w:t>基地学习。</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第十五条  建立科学的考核评价体系。根据学校培养方案与实践教学基地实际情况，共同制订学生实践教学期间的考核方法与考核手段，共同制定一套科学合理的评价指标体系，共同对学生在实践教学基地期间的学习效果进行评价。每年开展一次优秀实践教学指导教师、优秀实习生和优秀实践教学基地的评选。</w:t>
      </w:r>
    </w:p>
    <w:p>
      <w:pPr>
        <w:overflowPunct w:val="0"/>
        <w:snapToGrid w:val="0"/>
        <w:spacing w:line="360" w:lineRule="auto"/>
        <w:ind w:firstLine="480" w:firstLineChars="200"/>
        <w:rPr>
          <w:rFonts w:ascii="宋体" w:hAnsi="宋体"/>
          <w:b/>
          <w:color w:val="000000"/>
          <w:sz w:val="24"/>
          <w:szCs w:val="24"/>
        </w:rPr>
      </w:pPr>
      <w:r>
        <w:rPr>
          <w:rFonts w:hint="eastAsia" w:ascii="宋体" w:hAnsi="宋体"/>
          <w:color w:val="000000"/>
          <w:sz w:val="24"/>
          <w:szCs w:val="24"/>
        </w:rPr>
        <w:t>第十六条  构建安全保障体系。做好学生校外实践教学期间的安全、保密、知识产权保护等教育，提供充分的安全保护与劳动保护设备，协助基地方做好相关的管理工作。</w:t>
      </w:r>
    </w:p>
    <w:p>
      <w:pPr>
        <w:tabs>
          <w:tab w:val="left" w:pos="644"/>
          <w:tab w:val="left" w:pos="1288"/>
          <w:tab w:val="left" w:pos="1917"/>
        </w:tabs>
        <w:overflowPunct w:val="0"/>
        <w:snapToGrid w:val="0"/>
        <w:spacing w:line="360" w:lineRule="auto"/>
        <w:jc w:val="center"/>
        <w:outlineLvl w:val="0"/>
        <w:rPr>
          <w:rFonts w:ascii="宋体" w:hAnsi="宋体"/>
          <w:b/>
          <w:color w:val="000000"/>
          <w:sz w:val="24"/>
          <w:szCs w:val="24"/>
        </w:rPr>
      </w:pPr>
      <w:r>
        <w:rPr>
          <w:rFonts w:hint="eastAsia" w:ascii="宋体" w:hAnsi="宋体"/>
          <w:b/>
          <w:color w:val="000000"/>
          <w:sz w:val="24"/>
          <w:szCs w:val="24"/>
        </w:rPr>
        <w:t>第五章  建设与管理</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第十七条  实践教学基地按照建设与使用结合，管理与维护结合的原则，采用校、院两级管理的模式。学校教务处负责统筹协调基地建设相关事宜，制定相关管理办法和</w:t>
      </w:r>
      <w:r>
        <w:rPr>
          <w:rFonts w:hint="eastAsia" w:ascii="宋体" w:hAnsi="宋体"/>
          <w:sz w:val="24"/>
          <w:szCs w:val="24"/>
        </w:rPr>
        <w:t>配套制度；</w:t>
      </w:r>
      <w:r>
        <w:rPr>
          <w:rFonts w:hint="eastAsia" w:ascii="宋体" w:hAnsi="宋体"/>
          <w:color w:val="000000"/>
          <w:sz w:val="24"/>
          <w:szCs w:val="24"/>
        </w:rPr>
        <w:t>校地合作处负责对外协调，代表学校对各级各类行业组织、企事业单位进行调研考察，协助二级学院寻求引领行业发展方向、有成长潜质、有助于学校专业建设的企（事）业单位确定合作意向，组织开展与企（事）业单位的洽谈。二级学院依据学科及专业建设规划、培养目标、课程标准等，积极与满足专业人才培养要求的相关单位联系洽谈，具体负责实践教学基地的建设、使用、管理和维护等工作。</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第十八条  实践教学基地的设立程序</w:t>
      </w:r>
    </w:p>
    <w:p>
      <w:pPr>
        <w:overflowPunct w:val="0"/>
        <w:snapToGrid w:val="0"/>
        <w:spacing w:line="360" w:lineRule="auto"/>
        <w:ind w:firstLine="480" w:firstLineChars="200"/>
        <w:rPr>
          <w:rFonts w:ascii="宋体" w:hAnsi="宋体"/>
          <w:color w:val="000000"/>
          <w:sz w:val="24"/>
          <w:szCs w:val="24"/>
        </w:rPr>
      </w:pPr>
      <w:bookmarkStart w:id="37" w:name="6"/>
      <w:bookmarkEnd w:id="37"/>
      <w:r>
        <w:rPr>
          <w:rFonts w:hint="eastAsia" w:ascii="宋体" w:hAnsi="宋体"/>
          <w:color w:val="000000"/>
          <w:sz w:val="24"/>
          <w:szCs w:val="24"/>
        </w:rPr>
        <w:t>（1）申请。二级学院在对拟建实践教学基地初步考察的基础上，与共建单位进行协商，达成建立实践教学基地的初步意向，填写《内江师范学院实践教学基地建立申请表》（见附件</w:t>
      </w:r>
      <w:r>
        <w:rPr>
          <w:rFonts w:hint="eastAsia" w:ascii="宋体" w:hAnsi="宋体" w:cs="Arial"/>
          <w:color w:val="000000"/>
          <w:sz w:val="24"/>
          <w:szCs w:val="24"/>
        </w:rPr>
        <w:t>l</w:t>
      </w:r>
      <w:r>
        <w:rPr>
          <w:rFonts w:hint="eastAsia" w:ascii="宋体" w:hAnsi="宋体"/>
          <w:color w:val="000000"/>
          <w:sz w:val="24"/>
          <w:szCs w:val="24"/>
        </w:rPr>
        <w:t>），按程序进行申请。</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（2）审核。校地合作处组织专家对实践教学基地的条件以及建立的必要性进行审核、备案。</w:t>
      </w:r>
    </w:p>
    <w:p>
      <w:pPr>
        <w:overflowPunct w:val="0"/>
        <w:snapToGrid w:val="0"/>
        <w:spacing w:line="360" w:lineRule="auto"/>
        <w:ind w:firstLine="480" w:firstLineChars="200"/>
        <w:rPr>
          <w:rFonts w:ascii="宋体" w:hAnsi="宋体"/>
          <w:color w:val="000000"/>
          <w:sz w:val="24"/>
          <w:szCs w:val="24"/>
        </w:rPr>
      </w:pPr>
      <w:r>
        <w:rPr>
          <w:rFonts w:hint="eastAsia" w:ascii="宋体" w:hAnsi="宋体" w:cs="Arial"/>
          <w:color w:val="000000"/>
          <w:sz w:val="24"/>
          <w:szCs w:val="24"/>
        </w:rPr>
        <w:t>（3）</w:t>
      </w:r>
      <w:r>
        <w:rPr>
          <w:rFonts w:hint="eastAsia" w:ascii="宋体" w:hAnsi="宋体"/>
          <w:color w:val="000000"/>
          <w:sz w:val="24"/>
          <w:szCs w:val="24"/>
        </w:rPr>
        <w:t>签订协议。经批准建立的实践教学基地，由学校与实践教学基地按照相关流程正式签署《内江师范学院实践教学基地合作协议书》（以下简称《协议书》，见附件</w:t>
      </w:r>
      <w:r>
        <w:rPr>
          <w:rFonts w:hint="eastAsia" w:ascii="宋体" w:hAnsi="宋体" w:cs="Arial"/>
          <w:color w:val="000000"/>
          <w:sz w:val="24"/>
          <w:szCs w:val="24"/>
        </w:rPr>
        <w:t>2</w:t>
      </w:r>
      <w:r>
        <w:rPr>
          <w:rFonts w:hint="eastAsia" w:ascii="宋体" w:hAnsi="宋体"/>
          <w:color w:val="000000"/>
          <w:sz w:val="24"/>
          <w:szCs w:val="24"/>
        </w:rPr>
        <w:t>）。协议合作年限一般不少于3年，《协议书》一式四份，校地合作处、教务处、二级学院和实践教学基地各执1份。协议到期时，根据双方合作意向与成效，可续签协议。</w:t>
      </w:r>
    </w:p>
    <w:p>
      <w:pPr>
        <w:overflowPunct w:val="0"/>
        <w:snapToGrid w:val="0"/>
        <w:spacing w:line="360" w:lineRule="auto"/>
        <w:ind w:firstLine="480" w:firstLineChars="200"/>
        <w:rPr>
          <w:rFonts w:ascii="宋体" w:hAnsi="宋体"/>
          <w:color w:val="000000"/>
          <w:sz w:val="24"/>
          <w:szCs w:val="24"/>
        </w:rPr>
      </w:pPr>
      <w:r>
        <w:rPr>
          <w:rFonts w:hint="eastAsia" w:ascii="宋体" w:hAnsi="宋体" w:cs="Arial"/>
          <w:color w:val="000000"/>
          <w:sz w:val="24"/>
          <w:szCs w:val="24"/>
        </w:rPr>
        <w:t>（4）</w:t>
      </w:r>
      <w:r>
        <w:rPr>
          <w:rFonts w:hint="eastAsia" w:ascii="宋体" w:hAnsi="宋体"/>
          <w:color w:val="000000"/>
          <w:sz w:val="24"/>
          <w:szCs w:val="24"/>
        </w:rPr>
        <w:t>挂牌。《协议书》签订后，实践教学基地可悬挂“内江师范学院实践教学基地”牌匾，或者经学校审批同意的其他称谓牌匾。牌匾由学校统一制作。二级学院与相关企事业单位开展的其他形式的合作事项，已单独签署校企合作协议，且协议内容包含实践教学工作的，经教务处审核通过，合作单位可视为实践教学基地建设对象，双方可不再单独签署本办法中的《协议书》，但涉及的备案、挂牌、建档等建设管理事宜仍须按照本办法要求执行。</w:t>
      </w:r>
    </w:p>
    <w:p>
      <w:pPr>
        <w:overflowPunct w:val="0"/>
        <w:snapToGrid w:val="0"/>
        <w:spacing w:line="360" w:lineRule="auto"/>
        <w:ind w:firstLine="480" w:firstLineChars="200"/>
        <w:rPr>
          <w:rFonts w:ascii="宋体" w:hAnsi="宋体"/>
          <w:color w:val="000000"/>
          <w:sz w:val="24"/>
          <w:szCs w:val="24"/>
        </w:rPr>
      </w:pPr>
      <w:bookmarkStart w:id="38" w:name="7"/>
      <w:bookmarkEnd w:id="38"/>
      <w:r>
        <w:rPr>
          <w:rFonts w:hint="eastAsia" w:ascii="宋体" w:hAnsi="宋体"/>
          <w:color w:val="000000"/>
          <w:sz w:val="24"/>
          <w:szCs w:val="24"/>
        </w:rPr>
        <w:t>第十九条  实践教学基地的日常管理由共建单位与二级学院共同负责，双方应加强沟通与联系，构建实践教学基地可持续发展的长效机制。</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第二十条  实践教学基地建立后，二级学院应对每个基地建立教学档案，内容包括：</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（1）实践教学基地材料：含实践教学基地简介、共建单位介绍及资质证明、基地负责人介绍、共建协议、基地的指导教师状况（人数、学历、职称等），实习岗位，适合专业等。</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（2）实践教学基地运行情况：含每年安排到基地实践的专业名单、学生名单、指导教师名单、学生的实习报告及实习成果、实践教学基地对基地指导教师及学生的管理制度等。</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（3）实践教学基地依托单位录用我校毕业生情况。</w:t>
      </w:r>
    </w:p>
    <w:p>
      <w:pPr>
        <w:tabs>
          <w:tab w:val="left" w:pos="644"/>
          <w:tab w:val="left" w:pos="1303"/>
          <w:tab w:val="left" w:pos="1917"/>
        </w:tabs>
        <w:overflowPunct w:val="0"/>
        <w:snapToGrid w:val="0"/>
        <w:spacing w:line="360" w:lineRule="auto"/>
        <w:jc w:val="center"/>
        <w:outlineLvl w:val="0"/>
        <w:rPr>
          <w:rFonts w:ascii="宋体" w:hAnsi="宋体"/>
          <w:b/>
          <w:color w:val="000000"/>
          <w:sz w:val="24"/>
          <w:szCs w:val="24"/>
        </w:rPr>
      </w:pPr>
      <w:r>
        <w:rPr>
          <w:rFonts w:hint="eastAsia" w:ascii="宋体" w:hAnsi="宋体"/>
          <w:b/>
          <w:color w:val="000000"/>
          <w:sz w:val="24"/>
          <w:szCs w:val="24"/>
        </w:rPr>
        <w:t>第六章  附  则</w:t>
      </w: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第二十一条  本办法自发布之日起实施，由学校授权校地合作处和教务处负责解释。</w:t>
      </w:r>
    </w:p>
    <w:p>
      <w:pPr>
        <w:overflowPunct w:val="0"/>
        <w:snapToGrid w:val="0"/>
        <w:spacing w:line="360" w:lineRule="auto"/>
        <w:ind w:firstLine="480" w:firstLineChars="200"/>
        <w:rPr>
          <w:rFonts w:ascii="宋体" w:hAnsi="宋体"/>
          <w:color w:val="000000"/>
          <w:sz w:val="24"/>
          <w:szCs w:val="24"/>
        </w:rPr>
      </w:pPr>
    </w:p>
    <w:p>
      <w:pPr>
        <w:overflowPunct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附件：</w:t>
      </w:r>
      <w:r>
        <w:rPr>
          <w:rFonts w:hint="eastAsia" w:ascii="宋体" w:hAnsi="宋体" w:cs="Arial"/>
          <w:color w:val="000000"/>
          <w:sz w:val="24"/>
          <w:szCs w:val="24"/>
        </w:rPr>
        <w:t xml:space="preserve">l. </w:t>
      </w:r>
      <w:r>
        <w:rPr>
          <w:rFonts w:hint="eastAsia" w:ascii="宋体" w:hAnsi="宋体"/>
          <w:color w:val="000000"/>
          <w:sz w:val="24"/>
          <w:szCs w:val="24"/>
        </w:rPr>
        <w:t>内江师范学院实践教学基地建立申请表</w:t>
      </w:r>
    </w:p>
    <w:p>
      <w:pPr>
        <w:overflowPunct w:val="0"/>
        <w:snapToGrid w:val="0"/>
        <w:spacing w:line="360" w:lineRule="auto"/>
        <w:ind w:firstLine="480" w:firstLineChars="200"/>
        <w:rPr>
          <w:rFonts w:ascii="宋体" w:hAnsi="宋体"/>
          <w:color w:val="000000"/>
          <w:sz w:val="24"/>
          <w:szCs w:val="24"/>
        </w:rPr>
      </w:pPr>
      <w:bookmarkStart w:id="39" w:name="8"/>
      <w:bookmarkEnd w:id="39"/>
      <w:r>
        <w:rPr>
          <w:rFonts w:hint="eastAsia" w:ascii="宋体" w:hAnsi="宋体"/>
          <w:color w:val="000000"/>
          <w:sz w:val="24"/>
          <w:szCs w:val="24"/>
        </w:rPr>
        <w:t xml:space="preserve">      2. 内江师范学院实践教学基地合作协议书（师范类、</w:t>
      </w:r>
    </w:p>
    <w:p>
      <w:pPr>
        <w:overflowPunct w:val="0"/>
        <w:snapToGrid w:val="0"/>
        <w:spacing w:line="360" w:lineRule="auto"/>
        <w:ind w:firstLine="1560" w:firstLineChars="650"/>
        <w:rPr>
          <w:rFonts w:ascii="宋体" w:hAnsi="宋体"/>
          <w:color w:val="000000"/>
          <w:sz w:val="24"/>
          <w:szCs w:val="24"/>
        </w:rPr>
      </w:pPr>
      <w:r>
        <w:rPr>
          <w:rFonts w:hint="eastAsia" w:ascii="宋体" w:hAnsi="宋体"/>
          <w:color w:val="000000"/>
          <w:sz w:val="24"/>
          <w:szCs w:val="24"/>
        </w:rPr>
        <w:t>非师范类参考模板）</w:t>
      </w:r>
    </w:p>
    <w:p>
      <w:pPr>
        <w:overflowPunct w:val="0"/>
        <w:spacing w:after="120" w:line="360" w:lineRule="auto"/>
        <w:rPr>
          <w:rFonts w:ascii="宋体" w:hAnsi="宋体"/>
          <w:color w:val="000000"/>
          <w:sz w:val="24"/>
          <w:szCs w:val="24"/>
        </w:rPr>
      </w:pPr>
    </w:p>
    <w:p>
      <w:pPr>
        <w:overflowPunct w:val="0"/>
        <w:spacing w:after="120" w:line="360" w:lineRule="auto"/>
        <w:rPr>
          <w:rFonts w:ascii="宋体" w:hAnsi="宋体"/>
          <w:color w:val="000000"/>
          <w:sz w:val="24"/>
          <w:szCs w:val="24"/>
        </w:rPr>
      </w:pPr>
    </w:p>
    <w:p>
      <w:pPr>
        <w:overflowPunct w:val="0"/>
        <w:spacing w:after="120" w:line="360" w:lineRule="auto"/>
        <w:rPr>
          <w:rFonts w:ascii="宋体" w:hAnsi="宋体"/>
          <w:color w:val="000000"/>
          <w:sz w:val="24"/>
          <w:szCs w:val="24"/>
        </w:rPr>
      </w:pPr>
    </w:p>
    <w:p>
      <w:pPr>
        <w:overflowPunct w:val="0"/>
        <w:spacing w:after="120" w:line="360" w:lineRule="auto"/>
        <w:jc w:val="right"/>
        <w:rPr>
          <w:rFonts w:ascii="宋体" w:hAnsi="宋体"/>
          <w:color w:val="000000"/>
          <w:sz w:val="24"/>
          <w:szCs w:val="24"/>
        </w:rPr>
      </w:pPr>
      <w:r>
        <w:rPr>
          <w:rFonts w:hint="eastAsia" w:ascii="宋体" w:hAnsi="宋体"/>
          <w:sz w:val="24"/>
          <w:szCs w:val="24"/>
        </w:rPr>
        <w:t xml:space="preserve">2018年9月28日     </w:t>
      </w:r>
    </w:p>
    <w:p>
      <w:pPr>
        <w:overflowPunct w:val="0"/>
        <w:spacing w:after="120" w:line="360" w:lineRule="auto"/>
        <w:rPr>
          <w:rFonts w:ascii="宋体" w:hAnsi="宋体"/>
          <w:color w:val="000000"/>
          <w:sz w:val="24"/>
          <w:szCs w:val="24"/>
        </w:rPr>
      </w:pPr>
    </w:p>
    <w:p>
      <w:pPr>
        <w:overflowPunct w:val="0"/>
        <w:spacing w:after="120" w:line="360" w:lineRule="auto"/>
        <w:rPr>
          <w:rFonts w:ascii="宋体" w:hAnsi="宋体"/>
          <w:color w:val="000000"/>
          <w:sz w:val="24"/>
          <w:szCs w:val="24"/>
        </w:rPr>
      </w:pPr>
    </w:p>
    <w:p>
      <w:pPr>
        <w:overflowPunct w:val="0"/>
        <w:spacing w:after="120" w:line="360" w:lineRule="auto"/>
        <w:rPr>
          <w:rFonts w:ascii="宋体" w:hAnsi="宋体"/>
          <w:color w:val="000000"/>
          <w:sz w:val="24"/>
          <w:szCs w:val="24"/>
        </w:rPr>
      </w:pPr>
    </w:p>
    <w:p>
      <w:pPr>
        <w:overflowPunct w:val="0"/>
        <w:spacing w:after="120"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方正黑体简体" w:hAnsi="Courier New" w:eastAsia="方正黑体简体"/>
          <w:color w:val="000000"/>
          <w:sz w:val="28"/>
          <w:szCs w:val="28"/>
        </w:rPr>
      </w:pPr>
    </w:p>
    <w:p>
      <w:pPr>
        <w:overflowPunct w:val="0"/>
        <w:spacing w:line="360" w:lineRule="auto"/>
        <w:rPr>
          <w:rFonts w:ascii="宋体" w:hAnsi="宋体"/>
          <w:b/>
          <w:color w:val="000000"/>
          <w:sz w:val="28"/>
          <w:szCs w:val="28"/>
        </w:rPr>
      </w:pPr>
      <w:r>
        <w:rPr>
          <w:rFonts w:hint="eastAsia" w:ascii="宋体" w:hAnsi="宋体"/>
          <w:b/>
          <w:color w:val="000000"/>
          <w:sz w:val="28"/>
          <w:szCs w:val="28"/>
        </w:rPr>
        <w:t>附件1</w:t>
      </w:r>
    </w:p>
    <w:p>
      <w:pPr>
        <w:widowControl/>
        <w:shd w:val="clear" w:color="auto" w:fill="FFFFFF"/>
        <w:adjustRightInd w:val="0"/>
        <w:snapToGrid w:val="0"/>
        <w:spacing w:after="62" w:afterLines="20" w:line="720" w:lineRule="exact"/>
        <w:jc w:val="center"/>
        <w:rPr>
          <w:rFonts w:ascii="方正小标宋简体" w:hAnsi="黑体" w:eastAsia="方正小标宋简体" w:cs="宋体"/>
          <w:b/>
          <w:bCs/>
          <w:color w:val="323232"/>
          <w:w w:val="90"/>
          <w:kern w:val="0"/>
          <w:sz w:val="32"/>
          <w:szCs w:val="32"/>
        </w:rPr>
      </w:pPr>
      <w:r>
        <w:rPr>
          <w:rFonts w:hint="eastAsia" w:ascii="方正小标宋简体" w:hAnsi="黑体" w:eastAsia="方正小标宋简体" w:cs="宋体"/>
          <w:b/>
          <w:bCs/>
          <w:color w:val="323232"/>
          <w:w w:val="90"/>
          <w:kern w:val="0"/>
          <w:sz w:val="32"/>
          <w:szCs w:val="32"/>
        </w:rPr>
        <w:t>内江师范学院实践教学基地建立申请表</w:t>
      </w:r>
    </w:p>
    <w:p>
      <w:pPr>
        <w:overflowPunct w:val="0"/>
        <w:snapToGrid w:val="0"/>
        <w:spacing w:after="120"/>
        <w:ind w:left="203"/>
        <w:rPr>
          <w:rFonts w:ascii="宋体" w:hAnsi="宋体"/>
          <w:b/>
          <w:color w:val="000000"/>
          <w:sz w:val="24"/>
          <w:szCs w:val="24"/>
        </w:rPr>
      </w:pPr>
      <w:r>
        <w:rPr>
          <w:rFonts w:hint="eastAsia" w:ascii="宋体" w:hAnsi="宋体"/>
          <w:b/>
          <w:color w:val="000000"/>
          <w:sz w:val="24"/>
          <w:szCs w:val="24"/>
        </w:rPr>
        <w:t>二级学院：</w:t>
      </w:r>
    </w:p>
    <w:tbl>
      <w:tblPr>
        <w:tblStyle w:val="15"/>
        <w:tblW w:w="9237" w:type="dxa"/>
        <w:jc w:val="center"/>
        <w:tblInd w:w="0" w:type="dxa"/>
        <w:tblLayout w:type="fixed"/>
        <w:tblCellMar>
          <w:top w:w="0" w:type="dxa"/>
          <w:left w:w="0" w:type="dxa"/>
          <w:bottom w:w="0" w:type="dxa"/>
          <w:right w:w="0" w:type="dxa"/>
        </w:tblCellMar>
      </w:tblPr>
      <w:tblGrid>
        <w:gridCol w:w="2038"/>
        <w:gridCol w:w="989"/>
        <w:gridCol w:w="704"/>
        <w:gridCol w:w="719"/>
        <w:gridCol w:w="150"/>
        <w:gridCol w:w="1693"/>
        <w:gridCol w:w="143"/>
        <w:gridCol w:w="1106"/>
        <w:gridCol w:w="1695"/>
      </w:tblGrid>
      <w:tr>
        <w:tblPrEx>
          <w:tblLayout w:type="fixed"/>
          <w:tblCellMar>
            <w:top w:w="0" w:type="dxa"/>
            <w:left w:w="0" w:type="dxa"/>
            <w:bottom w:w="0" w:type="dxa"/>
            <w:right w:w="0" w:type="dxa"/>
          </w:tblCellMar>
        </w:tblPrEx>
        <w:trPr>
          <w:trHeight w:val="562" w:hRule="exact"/>
          <w:jc w:val="center"/>
        </w:trPr>
        <w:tc>
          <w:tcPr>
            <w:tcW w:w="2038" w:type="dxa"/>
            <w:tcBorders>
              <w:top w:val="single" w:color="545454" w:sz="18" w:space="0"/>
              <w:left w:val="single" w:color="4F4F4F" w:sz="18" w:space="0"/>
              <w:bottom w:val="single" w:color="747777" w:sz="12" w:space="0"/>
              <w:right w:val="single" w:color="2F2F2F" w:sz="6" w:space="0"/>
            </w:tcBorders>
          </w:tcPr>
          <w:p>
            <w:pPr>
              <w:overflowPunct w:val="0"/>
              <w:autoSpaceDE w:val="0"/>
              <w:autoSpaceDN w:val="0"/>
              <w:adjustRightInd w:val="0"/>
              <w:spacing w:before="99"/>
              <w:ind w:left="569"/>
              <w:jc w:val="left"/>
              <w:rPr>
                <w:rFonts w:ascii="宋体" w:hAnsi="宋体"/>
                <w:color w:val="000000"/>
                <w:kern w:val="0"/>
                <w:szCs w:val="21"/>
              </w:rPr>
            </w:pPr>
            <w:r>
              <w:rPr>
                <w:rFonts w:hint="eastAsia" w:ascii="宋体" w:hAnsi="宋体" w:cs="宋体"/>
                <w:color w:val="000000"/>
                <w:kern w:val="0"/>
                <w:szCs w:val="21"/>
              </w:rPr>
              <w:t>基地名称</w:t>
            </w:r>
          </w:p>
        </w:tc>
        <w:tc>
          <w:tcPr>
            <w:tcW w:w="7199" w:type="dxa"/>
            <w:gridSpan w:val="8"/>
            <w:tcBorders>
              <w:top w:val="single" w:color="545454" w:sz="18" w:space="0"/>
              <w:left w:val="single" w:color="2F2F2F" w:sz="6" w:space="0"/>
              <w:bottom w:val="single" w:color="747777" w:sz="12"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70" w:hRule="exact"/>
          <w:jc w:val="center"/>
        </w:trPr>
        <w:tc>
          <w:tcPr>
            <w:tcW w:w="2038" w:type="dxa"/>
            <w:tcBorders>
              <w:top w:val="single" w:color="747777" w:sz="12" w:space="0"/>
              <w:left w:val="single" w:color="4F4F4F" w:sz="18" w:space="0"/>
              <w:bottom w:val="single" w:color="4F4F54" w:sz="12" w:space="0"/>
              <w:right w:val="single" w:color="2F2F2F" w:sz="6" w:space="0"/>
            </w:tcBorders>
          </w:tcPr>
          <w:p>
            <w:pPr>
              <w:overflowPunct w:val="0"/>
              <w:autoSpaceDE w:val="0"/>
              <w:autoSpaceDN w:val="0"/>
              <w:adjustRightInd w:val="0"/>
              <w:spacing w:before="84"/>
              <w:ind w:left="569"/>
              <w:jc w:val="left"/>
              <w:rPr>
                <w:rFonts w:ascii="宋体" w:hAnsi="宋体"/>
                <w:color w:val="000000"/>
                <w:kern w:val="0"/>
                <w:szCs w:val="21"/>
              </w:rPr>
            </w:pPr>
            <w:r>
              <w:rPr>
                <w:rFonts w:hint="eastAsia" w:ascii="宋体" w:hAnsi="宋体" w:cs="宋体"/>
                <w:color w:val="000000"/>
                <w:kern w:val="0"/>
                <w:szCs w:val="21"/>
              </w:rPr>
              <w:t>共建单位</w:t>
            </w:r>
          </w:p>
        </w:tc>
        <w:tc>
          <w:tcPr>
            <w:tcW w:w="7199" w:type="dxa"/>
            <w:gridSpan w:val="8"/>
            <w:tcBorders>
              <w:top w:val="single" w:color="747777" w:sz="12" w:space="0"/>
              <w:left w:val="single" w:color="2F2F2F" w:sz="6" w:space="0"/>
              <w:bottom w:val="single" w:color="4F4F54" w:sz="12"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62" w:hRule="exact"/>
          <w:jc w:val="center"/>
        </w:trPr>
        <w:tc>
          <w:tcPr>
            <w:tcW w:w="2038" w:type="dxa"/>
            <w:tcBorders>
              <w:top w:val="single" w:color="4F4F54" w:sz="12" w:space="0"/>
              <w:left w:val="single" w:color="4F4F4F" w:sz="18" w:space="0"/>
              <w:bottom w:val="single" w:color="3B3B3B" w:sz="6" w:space="0"/>
              <w:right w:val="single" w:color="2F2F2F" w:sz="6" w:space="0"/>
            </w:tcBorders>
          </w:tcPr>
          <w:p>
            <w:pPr>
              <w:overflowPunct w:val="0"/>
              <w:autoSpaceDE w:val="0"/>
              <w:autoSpaceDN w:val="0"/>
              <w:adjustRightInd w:val="0"/>
              <w:spacing w:before="94"/>
              <w:ind w:left="569"/>
              <w:jc w:val="left"/>
              <w:rPr>
                <w:rFonts w:ascii="宋体" w:hAnsi="宋体"/>
                <w:color w:val="000000"/>
                <w:kern w:val="0"/>
                <w:szCs w:val="21"/>
              </w:rPr>
            </w:pPr>
            <w:r>
              <w:rPr>
                <w:rFonts w:hint="eastAsia" w:ascii="宋体" w:hAnsi="宋体" w:cs="宋体"/>
                <w:color w:val="000000"/>
                <w:kern w:val="0"/>
                <w:szCs w:val="21"/>
              </w:rPr>
              <w:t>基地地址</w:t>
            </w:r>
          </w:p>
        </w:tc>
        <w:tc>
          <w:tcPr>
            <w:tcW w:w="7199" w:type="dxa"/>
            <w:gridSpan w:val="8"/>
            <w:tcBorders>
              <w:top w:val="single" w:color="4F4F54" w:sz="12" w:space="0"/>
              <w:left w:val="single" w:color="2F2F2F" w:sz="6" w:space="0"/>
              <w:bottom w:val="single" w:color="3B3B3B" w:sz="6"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70" w:hRule="exact"/>
          <w:jc w:val="center"/>
        </w:trPr>
        <w:tc>
          <w:tcPr>
            <w:tcW w:w="2038" w:type="dxa"/>
            <w:tcBorders>
              <w:top w:val="single" w:color="3B3B3B" w:sz="6" w:space="0"/>
              <w:left w:val="single" w:color="4F4F4F" w:sz="18" w:space="0"/>
              <w:bottom w:val="single" w:color="282828" w:sz="6" w:space="0"/>
              <w:right w:val="single" w:color="2F2F2F" w:sz="6" w:space="0"/>
            </w:tcBorders>
          </w:tcPr>
          <w:p>
            <w:pPr>
              <w:overflowPunct w:val="0"/>
              <w:autoSpaceDE w:val="0"/>
              <w:autoSpaceDN w:val="0"/>
              <w:adjustRightInd w:val="0"/>
              <w:spacing w:before="99"/>
              <w:ind w:left="329"/>
              <w:jc w:val="left"/>
              <w:rPr>
                <w:rFonts w:ascii="宋体" w:hAnsi="宋体"/>
                <w:color w:val="000000"/>
                <w:kern w:val="0"/>
                <w:szCs w:val="21"/>
              </w:rPr>
            </w:pPr>
            <w:r>
              <w:rPr>
                <w:rFonts w:hint="eastAsia" w:ascii="宋体" w:hAnsi="宋体" w:cs="宋体"/>
                <w:color w:val="000000"/>
                <w:kern w:val="0"/>
                <w:szCs w:val="21"/>
              </w:rPr>
              <w:t>基地建立时间</w:t>
            </w:r>
          </w:p>
        </w:tc>
        <w:tc>
          <w:tcPr>
            <w:tcW w:w="2562" w:type="dxa"/>
            <w:gridSpan w:val="4"/>
            <w:tcBorders>
              <w:top w:val="single" w:color="3B3B3B" w:sz="6" w:space="0"/>
              <w:left w:val="single" w:color="2F2F2F" w:sz="6" w:space="0"/>
              <w:bottom w:val="single" w:color="282828" w:sz="6" w:space="0"/>
              <w:right w:val="single" w:color="3F3F3F" w:sz="6" w:space="0"/>
            </w:tcBorders>
          </w:tcPr>
          <w:p>
            <w:pPr>
              <w:rPr>
                <w:rFonts w:ascii="宋体" w:hAnsi="宋体"/>
                <w:color w:val="000000"/>
                <w:sz w:val="32"/>
                <w:szCs w:val="21"/>
              </w:rPr>
            </w:pPr>
          </w:p>
        </w:tc>
        <w:tc>
          <w:tcPr>
            <w:tcW w:w="1693" w:type="dxa"/>
            <w:tcBorders>
              <w:top w:val="single" w:color="3B3B3B" w:sz="6" w:space="0"/>
              <w:left w:val="single" w:color="3F3F3F" w:sz="6" w:space="0"/>
              <w:bottom w:val="single" w:color="282828" w:sz="6" w:space="0"/>
              <w:right w:val="single" w:color="3B3B3B" w:sz="6" w:space="0"/>
            </w:tcBorders>
          </w:tcPr>
          <w:p>
            <w:pPr>
              <w:overflowPunct w:val="0"/>
              <w:autoSpaceDE w:val="0"/>
              <w:autoSpaceDN w:val="0"/>
              <w:adjustRightInd w:val="0"/>
              <w:spacing w:before="99"/>
              <w:ind w:left="359"/>
              <w:jc w:val="left"/>
              <w:rPr>
                <w:rFonts w:ascii="宋体" w:hAnsi="宋体"/>
                <w:color w:val="000000"/>
                <w:kern w:val="0"/>
                <w:szCs w:val="21"/>
              </w:rPr>
            </w:pPr>
            <w:r>
              <w:rPr>
                <w:rFonts w:hint="eastAsia" w:ascii="宋体" w:hAnsi="宋体" w:cs="宋体"/>
                <w:color w:val="000000"/>
                <w:kern w:val="0"/>
                <w:szCs w:val="21"/>
              </w:rPr>
              <w:t>协议年限</w:t>
            </w:r>
          </w:p>
        </w:tc>
        <w:tc>
          <w:tcPr>
            <w:tcW w:w="2944" w:type="dxa"/>
            <w:gridSpan w:val="3"/>
            <w:tcBorders>
              <w:top w:val="single" w:color="3B3B3B" w:sz="6" w:space="0"/>
              <w:left w:val="single" w:color="3B3B3B" w:sz="6" w:space="0"/>
              <w:bottom w:val="single" w:color="282828" w:sz="6"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62" w:hRule="exact"/>
          <w:jc w:val="center"/>
        </w:trPr>
        <w:tc>
          <w:tcPr>
            <w:tcW w:w="2038" w:type="dxa"/>
            <w:tcBorders>
              <w:top w:val="single" w:color="282828" w:sz="6" w:space="0"/>
              <w:left w:val="single" w:color="4F4F4F" w:sz="18" w:space="0"/>
              <w:bottom w:val="single" w:color="747474" w:sz="12" w:space="0"/>
              <w:right w:val="single" w:color="2F2F2F" w:sz="6" w:space="0"/>
            </w:tcBorders>
          </w:tcPr>
          <w:p>
            <w:pPr>
              <w:overflowPunct w:val="0"/>
              <w:autoSpaceDE w:val="0"/>
              <w:autoSpaceDN w:val="0"/>
              <w:adjustRightInd w:val="0"/>
              <w:spacing w:before="99"/>
              <w:ind w:left="209"/>
              <w:jc w:val="left"/>
              <w:rPr>
                <w:rFonts w:ascii="宋体" w:hAnsi="宋体"/>
                <w:color w:val="000000"/>
                <w:kern w:val="0"/>
                <w:szCs w:val="21"/>
              </w:rPr>
            </w:pPr>
            <w:r>
              <w:rPr>
                <w:rFonts w:hint="eastAsia" w:ascii="宋体" w:hAnsi="宋体" w:cs="宋体"/>
                <w:color w:val="000000"/>
                <w:kern w:val="0"/>
                <w:szCs w:val="21"/>
              </w:rPr>
              <w:t>现场指导教师数</w:t>
            </w:r>
          </w:p>
        </w:tc>
        <w:tc>
          <w:tcPr>
            <w:tcW w:w="2562" w:type="dxa"/>
            <w:gridSpan w:val="4"/>
            <w:tcBorders>
              <w:top w:val="single" w:color="282828" w:sz="6" w:space="0"/>
              <w:left w:val="single" w:color="2F2F2F" w:sz="6" w:space="0"/>
              <w:bottom w:val="single" w:color="747474" w:sz="12" w:space="0"/>
              <w:right w:val="single" w:color="3F3F3F" w:sz="6" w:space="0"/>
            </w:tcBorders>
          </w:tcPr>
          <w:p>
            <w:pPr>
              <w:rPr>
                <w:rFonts w:ascii="宋体" w:hAnsi="宋体"/>
                <w:color w:val="000000"/>
                <w:sz w:val="32"/>
                <w:szCs w:val="21"/>
              </w:rPr>
            </w:pPr>
          </w:p>
        </w:tc>
        <w:tc>
          <w:tcPr>
            <w:tcW w:w="1693" w:type="dxa"/>
            <w:tcBorders>
              <w:top w:val="single" w:color="282828" w:sz="6" w:space="0"/>
              <w:left w:val="single" w:color="3F3F3F" w:sz="6" w:space="0"/>
              <w:bottom w:val="single" w:color="747474" w:sz="12" w:space="0"/>
              <w:right w:val="single" w:color="3B3B3B" w:sz="6" w:space="0"/>
            </w:tcBorders>
          </w:tcPr>
          <w:p>
            <w:pPr>
              <w:overflowPunct w:val="0"/>
              <w:autoSpaceDE w:val="0"/>
              <w:autoSpaceDN w:val="0"/>
              <w:adjustRightInd w:val="0"/>
              <w:spacing w:before="93"/>
              <w:ind w:left="44"/>
              <w:jc w:val="left"/>
              <w:rPr>
                <w:rFonts w:ascii="宋体" w:hAnsi="宋体"/>
                <w:color w:val="000000"/>
                <w:kern w:val="0"/>
                <w:szCs w:val="21"/>
              </w:rPr>
            </w:pPr>
            <w:r>
              <w:rPr>
                <w:rFonts w:hint="eastAsia" w:ascii="宋体" w:hAnsi="宋体" w:cs="宋体"/>
                <w:color w:val="000000"/>
                <w:kern w:val="0"/>
                <w:szCs w:val="21"/>
              </w:rPr>
              <w:t>可接纳学生数</w:t>
            </w:r>
          </w:p>
        </w:tc>
        <w:tc>
          <w:tcPr>
            <w:tcW w:w="2944" w:type="dxa"/>
            <w:gridSpan w:val="3"/>
            <w:tcBorders>
              <w:top w:val="single" w:color="282828" w:sz="6" w:space="0"/>
              <w:left w:val="single" w:color="3B3B3B" w:sz="6" w:space="0"/>
              <w:bottom w:val="single" w:color="747474" w:sz="12"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70" w:hRule="exact"/>
          <w:jc w:val="center"/>
        </w:trPr>
        <w:tc>
          <w:tcPr>
            <w:tcW w:w="2038" w:type="dxa"/>
            <w:tcBorders>
              <w:top w:val="single" w:color="747474" w:sz="12" w:space="0"/>
              <w:left w:val="single" w:color="4F4F4F" w:sz="18" w:space="0"/>
              <w:bottom w:val="single" w:color="777777" w:sz="12" w:space="0"/>
              <w:right w:val="single" w:color="2F2F2F" w:sz="6" w:space="0"/>
            </w:tcBorders>
          </w:tcPr>
          <w:p>
            <w:pPr>
              <w:overflowPunct w:val="0"/>
              <w:autoSpaceDE w:val="0"/>
              <w:autoSpaceDN w:val="0"/>
              <w:adjustRightInd w:val="0"/>
              <w:spacing w:before="84"/>
              <w:ind w:left="449"/>
              <w:jc w:val="left"/>
              <w:rPr>
                <w:rFonts w:ascii="宋体" w:hAnsi="宋体"/>
                <w:color w:val="000000"/>
                <w:kern w:val="0"/>
                <w:szCs w:val="21"/>
              </w:rPr>
            </w:pPr>
            <w:r>
              <w:rPr>
                <w:rFonts w:hint="eastAsia" w:ascii="宋体" w:hAnsi="宋体" w:cs="宋体"/>
                <w:color w:val="000000"/>
                <w:kern w:val="0"/>
                <w:szCs w:val="21"/>
              </w:rPr>
              <w:t>适合的专业</w:t>
            </w:r>
          </w:p>
        </w:tc>
        <w:tc>
          <w:tcPr>
            <w:tcW w:w="7199" w:type="dxa"/>
            <w:gridSpan w:val="8"/>
            <w:tcBorders>
              <w:top w:val="single" w:color="747474" w:sz="12" w:space="0"/>
              <w:left w:val="single" w:color="2F2F2F" w:sz="6" w:space="0"/>
              <w:bottom w:val="single" w:color="777777" w:sz="12"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562" w:hRule="exact"/>
          <w:jc w:val="center"/>
        </w:trPr>
        <w:tc>
          <w:tcPr>
            <w:tcW w:w="2038" w:type="dxa"/>
            <w:tcBorders>
              <w:top w:val="single" w:color="777777" w:sz="12" w:space="0"/>
              <w:left w:val="single" w:color="4F4F4F" w:sz="18" w:space="0"/>
              <w:bottom w:val="single" w:color="4F4F4F" w:sz="12" w:space="0"/>
              <w:right w:val="single" w:color="2F2F2F" w:sz="6" w:space="0"/>
            </w:tcBorders>
          </w:tcPr>
          <w:p>
            <w:pPr>
              <w:overflowPunct w:val="0"/>
              <w:autoSpaceDE w:val="0"/>
              <w:autoSpaceDN w:val="0"/>
              <w:adjustRightInd w:val="0"/>
              <w:spacing w:before="61"/>
              <w:ind w:left="344"/>
              <w:jc w:val="left"/>
              <w:rPr>
                <w:rFonts w:ascii="宋体" w:hAnsi="宋体"/>
                <w:color w:val="000000"/>
                <w:kern w:val="0"/>
                <w:szCs w:val="21"/>
              </w:rPr>
            </w:pPr>
            <w:r>
              <w:rPr>
                <w:rFonts w:hint="eastAsia" w:ascii="宋体" w:hAnsi="宋体" w:cs="宋体"/>
                <w:color w:val="000000"/>
                <w:kern w:val="0"/>
                <w:szCs w:val="21"/>
              </w:rPr>
              <w:t>是否授予牌匾</w:t>
            </w:r>
          </w:p>
        </w:tc>
        <w:tc>
          <w:tcPr>
            <w:tcW w:w="989" w:type="dxa"/>
            <w:tcBorders>
              <w:top w:val="single" w:color="777777" w:sz="12" w:space="0"/>
              <w:left w:val="single" w:color="2F2F2F" w:sz="6" w:space="0"/>
              <w:bottom w:val="single" w:color="2F2F2F" w:sz="6" w:space="0"/>
              <w:right w:val="single" w:color="6B6B6B" w:sz="6" w:space="0"/>
            </w:tcBorders>
          </w:tcPr>
          <w:p>
            <w:pPr>
              <w:rPr>
                <w:rFonts w:ascii="宋体" w:hAnsi="宋体"/>
                <w:color w:val="000000"/>
                <w:sz w:val="32"/>
                <w:szCs w:val="21"/>
              </w:rPr>
            </w:pPr>
          </w:p>
        </w:tc>
        <w:tc>
          <w:tcPr>
            <w:tcW w:w="1423" w:type="dxa"/>
            <w:gridSpan w:val="2"/>
            <w:tcBorders>
              <w:top w:val="single" w:color="777777" w:sz="12" w:space="0"/>
              <w:left w:val="single" w:color="6B6B6B" w:sz="6" w:space="0"/>
              <w:bottom w:val="single" w:color="2F2F2F" w:sz="6" w:space="0"/>
              <w:right w:val="single" w:color="909090" w:sz="12" w:space="0"/>
            </w:tcBorders>
          </w:tcPr>
          <w:p>
            <w:pPr>
              <w:overflowPunct w:val="0"/>
              <w:autoSpaceDE w:val="0"/>
              <w:autoSpaceDN w:val="0"/>
              <w:adjustRightInd w:val="0"/>
              <w:spacing w:before="74"/>
              <w:ind w:left="209"/>
              <w:jc w:val="left"/>
              <w:rPr>
                <w:rFonts w:ascii="宋体" w:hAnsi="宋体"/>
                <w:color w:val="000000"/>
                <w:kern w:val="0"/>
                <w:szCs w:val="21"/>
              </w:rPr>
            </w:pPr>
            <w:r>
              <w:rPr>
                <w:rFonts w:hint="eastAsia" w:ascii="宋体" w:hAnsi="宋体" w:cs="宋体"/>
                <w:color w:val="000000"/>
                <w:kern w:val="0"/>
                <w:szCs w:val="21"/>
              </w:rPr>
              <w:t>牌匾名称</w:t>
            </w:r>
          </w:p>
        </w:tc>
        <w:tc>
          <w:tcPr>
            <w:tcW w:w="4787" w:type="dxa"/>
            <w:gridSpan w:val="5"/>
            <w:tcBorders>
              <w:top w:val="single" w:color="777777" w:sz="12" w:space="0"/>
              <w:left w:val="single" w:color="909090" w:sz="12" w:space="0"/>
              <w:bottom w:val="single" w:color="2F2F2F" w:sz="6"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648" w:hRule="exact"/>
          <w:jc w:val="center"/>
        </w:trPr>
        <w:tc>
          <w:tcPr>
            <w:tcW w:w="2038" w:type="dxa"/>
            <w:tcBorders>
              <w:top w:val="single" w:color="4F4F4F" w:sz="12" w:space="0"/>
              <w:left w:val="single" w:color="4F4F4F" w:sz="18" w:space="0"/>
              <w:bottom w:val="single" w:color="606060" w:sz="12" w:space="0"/>
              <w:right w:val="single" w:color="2F2F2F" w:sz="6" w:space="0"/>
            </w:tcBorders>
          </w:tcPr>
          <w:p>
            <w:pPr>
              <w:overflowPunct w:val="0"/>
              <w:autoSpaceDE w:val="0"/>
              <w:autoSpaceDN w:val="0"/>
              <w:adjustRightInd w:val="0"/>
              <w:spacing w:line="260" w:lineRule="exact"/>
              <w:ind w:left="89"/>
              <w:jc w:val="center"/>
              <w:rPr>
                <w:rFonts w:ascii="宋体" w:hAnsi="宋体" w:cs="宋体"/>
                <w:color w:val="000000"/>
                <w:kern w:val="0"/>
                <w:szCs w:val="21"/>
              </w:rPr>
            </w:pPr>
            <w:r>
              <w:rPr>
                <w:rFonts w:hint="eastAsia" w:ascii="宋体" w:hAnsi="宋体" w:cs="宋体"/>
                <w:color w:val="000000"/>
                <w:kern w:val="0"/>
                <w:szCs w:val="21"/>
              </w:rPr>
              <w:t>基地单位</w:t>
            </w:r>
          </w:p>
          <w:p>
            <w:pPr>
              <w:overflowPunct w:val="0"/>
              <w:autoSpaceDE w:val="0"/>
              <w:autoSpaceDN w:val="0"/>
              <w:adjustRightInd w:val="0"/>
              <w:spacing w:before="27"/>
              <w:ind w:left="92"/>
              <w:jc w:val="center"/>
              <w:rPr>
                <w:rFonts w:ascii="宋体" w:hAnsi="宋体"/>
                <w:color w:val="000000"/>
                <w:kern w:val="0"/>
                <w:szCs w:val="21"/>
              </w:rPr>
            </w:pPr>
            <w:r>
              <w:rPr>
                <w:rFonts w:hint="eastAsia" w:ascii="宋体" w:hAnsi="宋体" w:cs="宋体"/>
                <w:color w:val="000000"/>
                <w:kern w:val="0"/>
                <w:szCs w:val="21"/>
              </w:rPr>
              <w:t>负责人</w:t>
            </w:r>
          </w:p>
        </w:tc>
        <w:tc>
          <w:tcPr>
            <w:tcW w:w="1693" w:type="dxa"/>
            <w:gridSpan w:val="2"/>
            <w:tcBorders>
              <w:top w:val="single" w:color="2F2F2F" w:sz="6" w:space="0"/>
              <w:left w:val="single" w:color="2F2F2F" w:sz="6" w:space="0"/>
              <w:bottom w:val="single" w:color="575757" w:sz="12" w:space="0"/>
              <w:right w:val="single" w:color="4F4F4F" w:sz="6" w:space="0"/>
            </w:tcBorders>
          </w:tcPr>
          <w:p>
            <w:pPr>
              <w:rPr>
                <w:rFonts w:ascii="宋体" w:hAnsi="宋体"/>
                <w:color w:val="000000"/>
                <w:sz w:val="32"/>
                <w:szCs w:val="21"/>
              </w:rPr>
            </w:pPr>
          </w:p>
        </w:tc>
        <w:tc>
          <w:tcPr>
            <w:tcW w:w="719" w:type="dxa"/>
            <w:tcBorders>
              <w:top w:val="single" w:color="2F2F2F" w:sz="6" w:space="0"/>
              <w:left w:val="single" w:color="4F4F4F" w:sz="6" w:space="0"/>
              <w:bottom w:val="single" w:color="575757" w:sz="12" w:space="0"/>
              <w:right w:val="single" w:color="545454" w:sz="6" w:space="0"/>
            </w:tcBorders>
          </w:tcPr>
          <w:p>
            <w:pPr>
              <w:overflowPunct w:val="0"/>
              <w:autoSpaceDE w:val="0"/>
              <w:autoSpaceDN w:val="0"/>
              <w:adjustRightInd w:val="0"/>
              <w:spacing w:before="117"/>
              <w:ind w:left="134"/>
              <w:jc w:val="left"/>
              <w:rPr>
                <w:rFonts w:ascii="宋体" w:hAnsi="宋体"/>
                <w:color w:val="000000"/>
                <w:kern w:val="0"/>
                <w:szCs w:val="21"/>
              </w:rPr>
            </w:pPr>
            <w:r>
              <w:rPr>
                <w:rFonts w:hint="eastAsia" w:ascii="宋体" w:hAnsi="宋体" w:cs="宋体"/>
                <w:color w:val="000000"/>
                <w:kern w:val="0"/>
                <w:szCs w:val="21"/>
              </w:rPr>
              <w:t>电话</w:t>
            </w:r>
          </w:p>
        </w:tc>
        <w:tc>
          <w:tcPr>
            <w:tcW w:w="1986" w:type="dxa"/>
            <w:gridSpan w:val="3"/>
            <w:tcBorders>
              <w:top w:val="single" w:color="2F2F2F" w:sz="6" w:space="0"/>
              <w:left w:val="single" w:color="545454" w:sz="6" w:space="0"/>
              <w:bottom w:val="single" w:color="545757" w:sz="12" w:space="0"/>
              <w:right w:val="single" w:color="707070" w:sz="12" w:space="0"/>
            </w:tcBorders>
          </w:tcPr>
          <w:p>
            <w:pPr>
              <w:rPr>
                <w:rFonts w:ascii="宋体" w:hAnsi="宋体"/>
                <w:color w:val="000000"/>
                <w:sz w:val="32"/>
                <w:szCs w:val="21"/>
              </w:rPr>
            </w:pPr>
          </w:p>
        </w:tc>
        <w:tc>
          <w:tcPr>
            <w:tcW w:w="1106" w:type="dxa"/>
            <w:tcBorders>
              <w:top w:val="single" w:color="2F2F2F" w:sz="6" w:space="0"/>
              <w:left w:val="single" w:color="707070" w:sz="12" w:space="0"/>
              <w:bottom w:val="single" w:color="545757" w:sz="12" w:space="0"/>
              <w:right w:val="single" w:color="444444" w:sz="6" w:space="0"/>
            </w:tcBorders>
          </w:tcPr>
          <w:p>
            <w:pPr>
              <w:overflowPunct w:val="0"/>
              <w:autoSpaceDE w:val="0"/>
              <w:autoSpaceDN w:val="0"/>
              <w:adjustRightInd w:val="0"/>
              <w:spacing w:before="117"/>
              <w:ind w:left="134"/>
              <w:jc w:val="left"/>
              <w:rPr>
                <w:rFonts w:ascii="宋体" w:hAnsi="宋体" w:cs="宋体"/>
                <w:color w:val="000000"/>
                <w:kern w:val="0"/>
                <w:szCs w:val="21"/>
              </w:rPr>
            </w:pPr>
            <w:r>
              <w:rPr>
                <w:rFonts w:hint="eastAsia" w:ascii="宋体" w:hAnsi="宋体" w:cs="宋体"/>
                <w:color w:val="000000"/>
                <w:kern w:val="0"/>
                <w:szCs w:val="21"/>
              </w:rPr>
              <w:t>邮箱</w:t>
            </w:r>
          </w:p>
        </w:tc>
        <w:tc>
          <w:tcPr>
            <w:tcW w:w="1695" w:type="dxa"/>
            <w:tcBorders>
              <w:top w:val="single" w:color="2F2F2F" w:sz="6" w:space="0"/>
              <w:left w:val="single" w:color="444444" w:sz="6" w:space="0"/>
              <w:bottom w:val="single" w:color="545757" w:sz="12" w:space="0"/>
              <w:right w:val="single" w:color="2F2F2F" w:sz="12" w:space="0"/>
            </w:tcBorders>
          </w:tcPr>
          <w:p>
            <w:pPr>
              <w:spacing w:before="117"/>
              <w:ind w:left="134"/>
              <w:rPr>
                <w:rFonts w:ascii="宋体" w:hAnsi="宋体" w:cs="宋体"/>
                <w:color w:val="000000"/>
                <w:sz w:val="32"/>
                <w:szCs w:val="21"/>
              </w:rPr>
            </w:pPr>
          </w:p>
        </w:tc>
      </w:tr>
      <w:tr>
        <w:tblPrEx>
          <w:tblLayout w:type="fixed"/>
          <w:tblCellMar>
            <w:top w:w="0" w:type="dxa"/>
            <w:left w:w="0" w:type="dxa"/>
            <w:bottom w:w="0" w:type="dxa"/>
            <w:right w:w="0" w:type="dxa"/>
          </w:tblCellMar>
        </w:tblPrEx>
        <w:trPr>
          <w:trHeight w:val="648" w:hRule="exact"/>
          <w:jc w:val="center"/>
        </w:trPr>
        <w:tc>
          <w:tcPr>
            <w:tcW w:w="2038" w:type="dxa"/>
            <w:tcBorders>
              <w:top w:val="single" w:color="606060" w:sz="12" w:space="0"/>
              <w:left w:val="single" w:color="4F4F4F" w:sz="18" w:space="0"/>
              <w:bottom w:val="single" w:color="5B5B5B" w:sz="12" w:space="0"/>
              <w:right w:val="single" w:color="2F2F2F" w:sz="6" w:space="0"/>
            </w:tcBorders>
          </w:tcPr>
          <w:p>
            <w:pPr>
              <w:overflowPunct w:val="0"/>
              <w:autoSpaceDE w:val="0"/>
              <w:autoSpaceDN w:val="0"/>
              <w:adjustRightInd w:val="0"/>
              <w:spacing w:line="300" w:lineRule="exact"/>
              <w:ind w:left="689" w:right="238" w:hanging="375"/>
              <w:jc w:val="left"/>
              <w:rPr>
                <w:rFonts w:ascii="宋体" w:hAnsi="宋体"/>
                <w:color w:val="000000"/>
                <w:kern w:val="0"/>
                <w:szCs w:val="21"/>
              </w:rPr>
            </w:pPr>
            <w:r>
              <w:rPr>
                <w:rFonts w:hint="eastAsia" w:ascii="宋体" w:hAnsi="宋体" w:cs="宋体"/>
                <w:color w:val="000000"/>
                <w:kern w:val="0"/>
                <w:szCs w:val="21"/>
              </w:rPr>
              <w:t>基地建设学院负责人</w:t>
            </w:r>
          </w:p>
        </w:tc>
        <w:tc>
          <w:tcPr>
            <w:tcW w:w="1693" w:type="dxa"/>
            <w:gridSpan w:val="2"/>
            <w:tcBorders>
              <w:top w:val="single" w:color="575757" w:sz="12" w:space="0"/>
              <w:left w:val="single" w:color="2F2F2F" w:sz="6" w:space="0"/>
              <w:bottom w:val="single" w:color="5B5B5B" w:sz="12" w:space="0"/>
              <w:right w:val="single" w:color="4F4F4F" w:sz="6" w:space="0"/>
            </w:tcBorders>
          </w:tcPr>
          <w:p>
            <w:pPr>
              <w:rPr>
                <w:rFonts w:ascii="宋体" w:hAnsi="宋体"/>
                <w:color w:val="000000"/>
                <w:sz w:val="32"/>
                <w:szCs w:val="21"/>
              </w:rPr>
            </w:pPr>
          </w:p>
        </w:tc>
        <w:tc>
          <w:tcPr>
            <w:tcW w:w="719" w:type="dxa"/>
            <w:tcBorders>
              <w:top w:val="single" w:color="575757" w:sz="12" w:space="0"/>
              <w:left w:val="single" w:color="4F4F4F" w:sz="6" w:space="0"/>
              <w:bottom w:val="single" w:color="5B5B5B" w:sz="12" w:space="0"/>
              <w:right w:val="single" w:color="545454" w:sz="6" w:space="0"/>
            </w:tcBorders>
          </w:tcPr>
          <w:p>
            <w:pPr>
              <w:overflowPunct w:val="0"/>
              <w:autoSpaceDE w:val="0"/>
              <w:autoSpaceDN w:val="0"/>
              <w:adjustRightInd w:val="0"/>
              <w:spacing w:before="121"/>
              <w:ind w:left="134"/>
              <w:jc w:val="left"/>
              <w:rPr>
                <w:rFonts w:ascii="宋体" w:hAnsi="宋体"/>
                <w:color w:val="000000"/>
                <w:kern w:val="0"/>
                <w:szCs w:val="21"/>
              </w:rPr>
            </w:pPr>
            <w:r>
              <w:rPr>
                <w:rFonts w:hint="eastAsia" w:ascii="宋体" w:hAnsi="宋体" w:cs="宋体"/>
                <w:color w:val="000000"/>
                <w:kern w:val="0"/>
                <w:szCs w:val="21"/>
              </w:rPr>
              <w:t>电话</w:t>
            </w:r>
          </w:p>
        </w:tc>
        <w:tc>
          <w:tcPr>
            <w:tcW w:w="1986" w:type="dxa"/>
            <w:gridSpan w:val="3"/>
            <w:tcBorders>
              <w:top w:val="single" w:color="545757" w:sz="12" w:space="0"/>
              <w:left w:val="single" w:color="545454" w:sz="6" w:space="0"/>
              <w:bottom w:val="single" w:color="5B5B5B" w:sz="12" w:space="0"/>
              <w:right w:val="single" w:color="707070" w:sz="12" w:space="0"/>
            </w:tcBorders>
          </w:tcPr>
          <w:p>
            <w:pPr>
              <w:rPr>
                <w:rFonts w:ascii="宋体" w:hAnsi="宋体"/>
                <w:color w:val="000000"/>
                <w:sz w:val="32"/>
                <w:szCs w:val="21"/>
              </w:rPr>
            </w:pPr>
          </w:p>
        </w:tc>
        <w:tc>
          <w:tcPr>
            <w:tcW w:w="1106" w:type="dxa"/>
            <w:tcBorders>
              <w:top w:val="single" w:color="545757" w:sz="12" w:space="0"/>
              <w:left w:val="single" w:color="707070" w:sz="12" w:space="0"/>
              <w:bottom w:val="single" w:color="5B5B5B" w:sz="12" w:space="0"/>
              <w:right w:val="single" w:color="444444" w:sz="6" w:space="0"/>
            </w:tcBorders>
          </w:tcPr>
          <w:p>
            <w:pPr>
              <w:overflowPunct w:val="0"/>
              <w:autoSpaceDE w:val="0"/>
              <w:autoSpaceDN w:val="0"/>
              <w:adjustRightInd w:val="0"/>
              <w:spacing w:before="121"/>
              <w:ind w:left="179"/>
              <w:jc w:val="left"/>
              <w:rPr>
                <w:rFonts w:ascii="宋体" w:hAnsi="宋体"/>
                <w:color w:val="000000"/>
                <w:kern w:val="0"/>
                <w:szCs w:val="21"/>
              </w:rPr>
            </w:pPr>
            <w:r>
              <w:rPr>
                <w:rFonts w:hint="eastAsia" w:ascii="宋体" w:hAnsi="宋体" w:cs="宋体"/>
                <w:color w:val="000000"/>
                <w:kern w:val="0"/>
                <w:szCs w:val="21"/>
              </w:rPr>
              <w:t>邮箱</w:t>
            </w:r>
          </w:p>
        </w:tc>
        <w:tc>
          <w:tcPr>
            <w:tcW w:w="1695" w:type="dxa"/>
            <w:tcBorders>
              <w:top w:val="single" w:color="545757" w:sz="12" w:space="0"/>
              <w:left w:val="single" w:color="444444" w:sz="6" w:space="0"/>
              <w:bottom w:val="single" w:color="5B5B5B" w:sz="12" w:space="0"/>
              <w:right w:val="single" w:color="2F2F2F" w:sz="12" w:space="0"/>
            </w:tcBorders>
          </w:tcPr>
          <w:p>
            <w:pPr>
              <w:rPr>
                <w:rFonts w:ascii="宋体" w:hAnsi="宋体"/>
                <w:color w:val="000000"/>
                <w:sz w:val="32"/>
                <w:szCs w:val="21"/>
              </w:rPr>
            </w:pPr>
          </w:p>
        </w:tc>
      </w:tr>
      <w:tr>
        <w:tblPrEx>
          <w:tblLayout w:type="fixed"/>
          <w:tblCellMar>
            <w:top w:w="0" w:type="dxa"/>
            <w:left w:w="0" w:type="dxa"/>
            <w:bottom w:w="0" w:type="dxa"/>
            <w:right w:w="0" w:type="dxa"/>
          </w:tblCellMar>
        </w:tblPrEx>
        <w:trPr>
          <w:trHeight w:val="1281" w:hRule="exact"/>
          <w:jc w:val="center"/>
        </w:trPr>
        <w:tc>
          <w:tcPr>
            <w:tcW w:w="9237" w:type="dxa"/>
            <w:gridSpan w:val="9"/>
            <w:tcBorders>
              <w:top w:val="single" w:color="5B5B5B" w:sz="12" w:space="0"/>
              <w:left w:val="single" w:color="4F4F4F" w:sz="18" w:space="0"/>
              <w:bottom w:val="single" w:color="282828" w:sz="6" w:space="0"/>
              <w:right w:val="single" w:color="2F2F2F" w:sz="12" w:space="0"/>
            </w:tcBorders>
          </w:tcPr>
          <w:p>
            <w:pPr>
              <w:overflowPunct w:val="0"/>
              <w:autoSpaceDE w:val="0"/>
              <w:autoSpaceDN w:val="0"/>
              <w:adjustRightInd w:val="0"/>
              <w:spacing w:line="274" w:lineRule="exact"/>
              <w:ind w:left="29"/>
              <w:jc w:val="left"/>
              <w:rPr>
                <w:rFonts w:ascii="宋体" w:hAnsi="宋体"/>
                <w:color w:val="000000"/>
                <w:kern w:val="0"/>
                <w:szCs w:val="21"/>
              </w:rPr>
            </w:pPr>
            <w:r>
              <w:rPr>
                <w:rFonts w:hint="eastAsia" w:ascii="宋体" w:hAnsi="宋体" w:cs="宋体"/>
                <w:color w:val="000000"/>
                <w:kern w:val="0"/>
                <w:szCs w:val="21"/>
              </w:rPr>
              <w:t>共建单位简介：〈着重说明共建单位能提供的实践教学条件和已有的合作基础〉</w:t>
            </w:r>
          </w:p>
        </w:tc>
      </w:tr>
      <w:tr>
        <w:tblPrEx>
          <w:tblLayout w:type="fixed"/>
          <w:tblCellMar>
            <w:top w:w="0" w:type="dxa"/>
            <w:left w:w="0" w:type="dxa"/>
            <w:bottom w:w="0" w:type="dxa"/>
            <w:right w:w="0" w:type="dxa"/>
          </w:tblCellMar>
        </w:tblPrEx>
        <w:trPr>
          <w:trHeight w:val="1404" w:hRule="exact"/>
          <w:jc w:val="center"/>
        </w:trPr>
        <w:tc>
          <w:tcPr>
            <w:tcW w:w="2038" w:type="dxa"/>
            <w:tcBorders>
              <w:top w:val="single" w:color="282828" w:sz="6" w:space="0"/>
              <w:left w:val="single" w:color="4F4F4F" w:sz="18" w:space="0"/>
              <w:bottom w:val="single" w:color="282828" w:sz="6" w:space="0"/>
              <w:right w:val="single" w:color="28282B" w:sz="6" w:space="0"/>
            </w:tcBorders>
            <w:vAlign w:val="center"/>
          </w:tcPr>
          <w:p>
            <w:pPr>
              <w:overflowPunct w:val="0"/>
              <w:autoSpaceDE w:val="0"/>
              <w:autoSpaceDN w:val="0"/>
              <w:adjustRightInd w:val="0"/>
              <w:spacing w:line="260" w:lineRule="exact"/>
              <w:ind w:left="89"/>
              <w:jc w:val="center"/>
              <w:rPr>
                <w:rFonts w:ascii="宋体" w:hAnsi="宋体"/>
                <w:color w:val="000000"/>
                <w:kern w:val="0"/>
                <w:szCs w:val="21"/>
              </w:rPr>
            </w:pPr>
            <w:r>
              <w:rPr>
                <w:rFonts w:hint="eastAsia" w:ascii="宋体" w:hAnsi="宋体" w:cs="宋体"/>
                <w:color w:val="000000"/>
                <w:kern w:val="0"/>
                <w:szCs w:val="21"/>
              </w:rPr>
              <w:t>二级学院意见</w:t>
            </w:r>
          </w:p>
        </w:tc>
        <w:tc>
          <w:tcPr>
            <w:tcW w:w="7199" w:type="dxa"/>
            <w:gridSpan w:val="8"/>
            <w:tcBorders>
              <w:top w:val="single" w:color="282828" w:sz="6" w:space="0"/>
              <w:left w:val="single" w:color="28282B" w:sz="6" w:space="0"/>
              <w:bottom w:val="single" w:color="282828" w:sz="6" w:space="0"/>
              <w:right w:val="single" w:color="2F2F2F" w:sz="12" w:space="0"/>
            </w:tcBorders>
          </w:tcPr>
          <w:p>
            <w:pPr>
              <w:overflowPunct w:val="0"/>
              <w:autoSpaceDE w:val="0"/>
              <w:autoSpaceDN w:val="0"/>
              <w:adjustRightInd w:val="0"/>
              <w:spacing w:before="6"/>
              <w:jc w:val="left"/>
              <w:rPr>
                <w:rFonts w:ascii="宋体" w:hAnsi="宋体" w:cs="宋体"/>
                <w:color w:val="000000"/>
                <w:kern w:val="0"/>
                <w:szCs w:val="21"/>
              </w:rPr>
            </w:pPr>
          </w:p>
          <w:p>
            <w:pPr>
              <w:overflowPunct w:val="0"/>
              <w:autoSpaceDE w:val="0"/>
              <w:autoSpaceDN w:val="0"/>
              <w:adjustRightInd w:val="0"/>
              <w:spacing w:line="286" w:lineRule="exact"/>
              <w:ind w:right="296"/>
              <w:jc w:val="right"/>
              <w:rPr>
                <w:rFonts w:ascii="宋体" w:hAnsi="宋体" w:cs="宋体"/>
                <w:color w:val="000000"/>
                <w:kern w:val="0"/>
                <w:szCs w:val="21"/>
              </w:rPr>
            </w:pPr>
          </w:p>
          <w:p>
            <w:pPr>
              <w:overflowPunct w:val="0"/>
              <w:autoSpaceDE w:val="0"/>
              <w:autoSpaceDN w:val="0"/>
              <w:adjustRightInd w:val="0"/>
              <w:spacing w:line="360" w:lineRule="auto"/>
              <w:ind w:right="1346"/>
              <w:jc w:val="right"/>
              <w:rPr>
                <w:rFonts w:ascii="宋体" w:hAnsi="宋体" w:cs="宋体"/>
                <w:color w:val="000000"/>
                <w:kern w:val="0"/>
                <w:szCs w:val="21"/>
              </w:rPr>
            </w:pPr>
            <w:r>
              <w:rPr>
                <w:rFonts w:hint="eastAsia" w:ascii="宋体" w:hAnsi="宋体" w:cs="宋体"/>
                <w:color w:val="000000"/>
                <w:kern w:val="0"/>
                <w:szCs w:val="21"/>
              </w:rPr>
              <w:t>负责人：</w:t>
            </w:r>
          </w:p>
          <w:p>
            <w:pPr>
              <w:overflowPunct w:val="0"/>
              <w:autoSpaceDE w:val="0"/>
              <w:autoSpaceDN w:val="0"/>
              <w:adjustRightInd w:val="0"/>
              <w:spacing w:line="360" w:lineRule="auto"/>
              <w:ind w:right="1449"/>
              <w:jc w:val="right"/>
              <w:rPr>
                <w:rFonts w:ascii="宋体" w:hAnsi="宋体" w:cs="宋体"/>
                <w:color w:val="000000"/>
                <w:kern w:val="0"/>
                <w:szCs w:val="21"/>
              </w:rPr>
            </w:pPr>
            <w:r>
              <w:rPr>
                <w:rFonts w:hint="eastAsia" w:ascii="宋体" w:hAnsi="宋体" w:cs="宋体"/>
                <w:color w:val="000000"/>
                <w:kern w:val="0"/>
                <w:szCs w:val="21"/>
              </w:rPr>
              <w:t>（公章)</w:t>
            </w:r>
          </w:p>
          <w:p>
            <w:pPr>
              <w:wordWrap w:val="0"/>
              <w:overflowPunct w:val="0"/>
              <w:autoSpaceDE w:val="0"/>
              <w:autoSpaceDN w:val="0"/>
              <w:adjustRightInd w:val="0"/>
              <w:spacing w:line="360" w:lineRule="auto"/>
              <w:ind w:right="1239"/>
              <w:jc w:val="right"/>
              <w:rPr>
                <w:rFonts w:ascii="宋体" w:hAnsi="宋体"/>
                <w:color w:val="000000"/>
                <w:kern w:val="0"/>
                <w:szCs w:val="21"/>
              </w:rPr>
            </w:pPr>
            <w:r>
              <w:rPr>
                <w:rFonts w:hint="eastAsia" w:ascii="宋体" w:hAnsi="宋体" w:cs="宋体"/>
                <w:color w:val="000000"/>
                <w:kern w:val="0"/>
                <w:szCs w:val="21"/>
              </w:rPr>
              <w:t>年  月  日</w:t>
            </w: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s="宋体"/>
                <w:color w:val="000000"/>
                <w:kern w:val="0"/>
                <w:szCs w:val="21"/>
              </w:rPr>
            </w:pPr>
          </w:p>
          <w:p>
            <w:pPr>
              <w:overflowPunct w:val="0"/>
              <w:autoSpaceDE w:val="0"/>
              <w:autoSpaceDN w:val="0"/>
              <w:adjustRightInd w:val="0"/>
              <w:snapToGrid w:val="0"/>
              <w:jc w:val="left"/>
              <w:rPr>
                <w:rFonts w:ascii="宋体" w:hAnsi="宋体"/>
                <w:color w:val="000000"/>
                <w:kern w:val="0"/>
                <w:szCs w:val="21"/>
              </w:rPr>
            </w:pPr>
          </w:p>
        </w:tc>
      </w:tr>
      <w:tr>
        <w:tblPrEx>
          <w:tblLayout w:type="fixed"/>
          <w:tblCellMar>
            <w:top w:w="0" w:type="dxa"/>
            <w:left w:w="0" w:type="dxa"/>
            <w:bottom w:w="0" w:type="dxa"/>
            <w:right w:w="0" w:type="dxa"/>
          </w:tblCellMar>
        </w:tblPrEx>
        <w:trPr>
          <w:trHeight w:val="1685" w:hRule="exact"/>
          <w:jc w:val="center"/>
        </w:trPr>
        <w:tc>
          <w:tcPr>
            <w:tcW w:w="2038" w:type="dxa"/>
            <w:tcBorders>
              <w:top w:val="single" w:color="282828" w:sz="6" w:space="0"/>
              <w:left w:val="single" w:color="4F4F4F" w:sz="18" w:space="0"/>
              <w:bottom w:val="single" w:color="282828" w:sz="6" w:space="0"/>
              <w:right w:val="single" w:color="28282B" w:sz="6" w:space="0"/>
            </w:tcBorders>
            <w:vAlign w:val="center"/>
          </w:tcPr>
          <w:p>
            <w:pPr>
              <w:overflowPunct w:val="0"/>
              <w:autoSpaceDE w:val="0"/>
              <w:autoSpaceDN w:val="0"/>
              <w:adjustRightInd w:val="0"/>
              <w:spacing w:line="260" w:lineRule="exact"/>
              <w:ind w:left="89"/>
              <w:jc w:val="center"/>
              <w:rPr>
                <w:rFonts w:ascii="宋体" w:hAnsi="宋体"/>
                <w:color w:val="000000"/>
                <w:kern w:val="0"/>
                <w:szCs w:val="21"/>
              </w:rPr>
            </w:pPr>
            <w:r>
              <w:rPr>
                <w:rFonts w:hint="eastAsia" w:ascii="宋体" w:hAnsi="宋体" w:cs="宋体"/>
                <w:color w:val="000000"/>
                <w:kern w:val="0"/>
                <w:szCs w:val="21"/>
              </w:rPr>
              <w:t>教务处意见</w:t>
            </w:r>
          </w:p>
        </w:tc>
        <w:tc>
          <w:tcPr>
            <w:tcW w:w="7199" w:type="dxa"/>
            <w:gridSpan w:val="8"/>
            <w:tcBorders>
              <w:top w:val="single" w:color="282828" w:sz="6" w:space="0"/>
              <w:left w:val="single" w:color="28282B" w:sz="6" w:space="0"/>
              <w:bottom w:val="single" w:color="282828" w:sz="6" w:space="0"/>
              <w:right w:val="single" w:color="2F2F2F" w:sz="12" w:space="0"/>
            </w:tcBorders>
          </w:tcPr>
          <w:p>
            <w:pPr>
              <w:overflowPunct w:val="0"/>
              <w:autoSpaceDE w:val="0"/>
              <w:autoSpaceDN w:val="0"/>
              <w:adjustRightInd w:val="0"/>
              <w:spacing w:before="6"/>
              <w:jc w:val="left"/>
              <w:rPr>
                <w:rFonts w:ascii="宋体" w:hAnsi="宋体" w:cs="宋体"/>
                <w:color w:val="000000"/>
                <w:kern w:val="0"/>
                <w:szCs w:val="21"/>
              </w:rPr>
            </w:pPr>
          </w:p>
          <w:p>
            <w:pPr>
              <w:overflowPunct w:val="0"/>
              <w:autoSpaceDE w:val="0"/>
              <w:autoSpaceDN w:val="0"/>
              <w:adjustRightInd w:val="0"/>
              <w:spacing w:line="286" w:lineRule="exact"/>
              <w:ind w:right="296"/>
              <w:jc w:val="right"/>
              <w:rPr>
                <w:rFonts w:ascii="宋体" w:hAnsi="宋体" w:cs="宋体"/>
                <w:color w:val="000000"/>
                <w:kern w:val="0"/>
                <w:szCs w:val="21"/>
              </w:rPr>
            </w:pPr>
          </w:p>
          <w:p>
            <w:pPr>
              <w:overflowPunct w:val="0"/>
              <w:autoSpaceDE w:val="0"/>
              <w:autoSpaceDN w:val="0"/>
              <w:adjustRightInd w:val="0"/>
              <w:spacing w:line="360" w:lineRule="auto"/>
              <w:ind w:right="1346"/>
              <w:jc w:val="right"/>
              <w:rPr>
                <w:rFonts w:ascii="宋体" w:hAnsi="宋体" w:cs="宋体"/>
                <w:color w:val="000000"/>
                <w:kern w:val="0"/>
                <w:szCs w:val="21"/>
              </w:rPr>
            </w:pPr>
            <w:r>
              <w:rPr>
                <w:rFonts w:hint="eastAsia" w:ascii="宋体" w:hAnsi="宋体" w:cs="宋体"/>
                <w:color w:val="000000"/>
                <w:kern w:val="0"/>
                <w:szCs w:val="21"/>
              </w:rPr>
              <w:t>负责人：</w:t>
            </w:r>
          </w:p>
          <w:p>
            <w:pPr>
              <w:overflowPunct w:val="0"/>
              <w:autoSpaceDE w:val="0"/>
              <w:autoSpaceDN w:val="0"/>
              <w:adjustRightInd w:val="0"/>
              <w:spacing w:line="360" w:lineRule="auto"/>
              <w:ind w:right="1449"/>
              <w:jc w:val="right"/>
              <w:rPr>
                <w:rFonts w:ascii="宋体" w:hAnsi="宋体" w:cs="宋体"/>
                <w:color w:val="000000"/>
                <w:kern w:val="0"/>
                <w:szCs w:val="21"/>
              </w:rPr>
            </w:pPr>
            <w:r>
              <w:rPr>
                <w:rFonts w:hint="eastAsia" w:ascii="宋体" w:hAnsi="宋体" w:cs="宋体"/>
                <w:color w:val="000000"/>
                <w:kern w:val="0"/>
                <w:szCs w:val="21"/>
              </w:rPr>
              <w:t>（公章)</w:t>
            </w:r>
          </w:p>
          <w:p>
            <w:pPr>
              <w:wordWrap w:val="0"/>
              <w:overflowPunct w:val="0"/>
              <w:autoSpaceDE w:val="0"/>
              <w:autoSpaceDN w:val="0"/>
              <w:adjustRightInd w:val="0"/>
              <w:spacing w:line="360" w:lineRule="auto"/>
              <w:ind w:right="1239"/>
              <w:jc w:val="right"/>
              <w:rPr>
                <w:rFonts w:ascii="宋体" w:hAnsi="宋体"/>
                <w:color w:val="000000"/>
                <w:kern w:val="0"/>
                <w:szCs w:val="21"/>
              </w:rPr>
            </w:pPr>
            <w:r>
              <w:rPr>
                <w:rFonts w:hint="eastAsia" w:ascii="宋体" w:hAnsi="宋体" w:cs="宋体"/>
                <w:color w:val="000000"/>
                <w:kern w:val="0"/>
                <w:szCs w:val="21"/>
              </w:rPr>
              <w:t>年  月  日</w:t>
            </w:r>
          </w:p>
          <w:p>
            <w:pPr>
              <w:overflowPunct w:val="0"/>
              <w:autoSpaceDE w:val="0"/>
              <w:autoSpaceDN w:val="0"/>
              <w:adjustRightInd w:val="0"/>
              <w:snapToGrid w:val="0"/>
              <w:jc w:val="left"/>
              <w:rPr>
                <w:rFonts w:ascii="宋体" w:hAnsi="宋体"/>
                <w:color w:val="000000"/>
                <w:kern w:val="0"/>
                <w:szCs w:val="21"/>
              </w:rPr>
            </w:pPr>
          </w:p>
        </w:tc>
      </w:tr>
      <w:tr>
        <w:tblPrEx>
          <w:tblLayout w:type="fixed"/>
          <w:tblCellMar>
            <w:top w:w="0" w:type="dxa"/>
            <w:left w:w="0" w:type="dxa"/>
            <w:bottom w:w="0" w:type="dxa"/>
            <w:right w:w="0" w:type="dxa"/>
          </w:tblCellMar>
        </w:tblPrEx>
        <w:trPr>
          <w:trHeight w:val="1695" w:hRule="exact"/>
          <w:jc w:val="center"/>
        </w:trPr>
        <w:tc>
          <w:tcPr>
            <w:tcW w:w="2038" w:type="dxa"/>
            <w:tcBorders>
              <w:top w:val="single" w:color="282828" w:sz="6" w:space="0"/>
              <w:left w:val="single" w:color="4F4F4F" w:sz="18" w:space="0"/>
              <w:bottom w:val="single" w:color="282828" w:sz="12" w:space="0"/>
              <w:right w:val="single" w:color="28282B" w:sz="6" w:space="0"/>
            </w:tcBorders>
            <w:vAlign w:val="center"/>
          </w:tcPr>
          <w:p>
            <w:pPr>
              <w:overflowPunct w:val="0"/>
              <w:autoSpaceDE w:val="0"/>
              <w:autoSpaceDN w:val="0"/>
              <w:adjustRightInd w:val="0"/>
              <w:spacing w:line="260" w:lineRule="exact"/>
              <w:ind w:left="89"/>
              <w:jc w:val="center"/>
              <w:rPr>
                <w:rFonts w:ascii="宋体" w:hAnsi="宋体"/>
                <w:color w:val="000000"/>
                <w:kern w:val="0"/>
                <w:szCs w:val="21"/>
              </w:rPr>
            </w:pPr>
            <w:r>
              <w:rPr>
                <w:rFonts w:hint="eastAsia" w:ascii="宋体" w:hAnsi="宋体" w:cs="宋体"/>
                <w:color w:val="000000"/>
                <w:kern w:val="0"/>
                <w:szCs w:val="21"/>
              </w:rPr>
              <w:t>校地合作处意见</w:t>
            </w:r>
          </w:p>
        </w:tc>
        <w:tc>
          <w:tcPr>
            <w:tcW w:w="7199" w:type="dxa"/>
            <w:gridSpan w:val="8"/>
            <w:tcBorders>
              <w:top w:val="single" w:color="282828" w:sz="6" w:space="0"/>
              <w:left w:val="single" w:color="28282B" w:sz="6" w:space="0"/>
              <w:bottom w:val="single" w:color="282828" w:sz="12" w:space="0"/>
              <w:right w:val="single" w:color="2F2F2F" w:sz="12" w:space="0"/>
            </w:tcBorders>
          </w:tcPr>
          <w:p>
            <w:pPr>
              <w:overflowPunct w:val="0"/>
              <w:autoSpaceDE w:val="0"/>
              <w:autoSpaceDN w:val="0"/>
              <w:adjustRightInd w:val="0"/>
              <w:spacing w:before="6"/>
              <w:jc w:val="left"/>
              <w:rPr>
                <w:rFonts w:ascii="宋体" w:hAnsi="宋体" w:cs="宋体"/>
                <w:color w:val="000000"/>
                <w:kern w:val="0"/>
                <w:szCs w:val="21"/>
              </w:rPr>
            </w:pPr>
          </w:p>
          <w:p>
            <w:pPr>
              <w:overflowPunct w:val="0"/>
              <w:autoSpaceDE w:val="0"/>
              <w:autoSpaceDN w:val="0"/>
              <w:adjustRightInd w:val="0"/>
              <w:spacing w:line="286" w:lineRule="exact"/>
              <w:ind w:right="296"/>
              <w:jc w:val="right"/>
              <w:rPr>
                <w:rFonts w:ascii="宋体" w:hAnsi="宋体" w:cs="宋体"/>
                <w:color w:val="000000"/>
                <w:kern w:val="0"/>
                <w:szCs w:val="21"/>
              </w:rPr>
            </w:pPr>
          </w:p>
          <w:p>
            <w:pPr>
              <w:overflowPunct w:val="0"/>
              <w:autoSpaceDE w:val="0"/>
              <w:autoSpaceDN w:val="0"/>
              <w:adjustRightInd w:val="0"/>
              <w:spacing w:line="360" w:lineRule="auto"/>
              <w:ind w:right="1346"/>
              <w:jc w:val="right"/>
              <w:rPr>
                <w:rFonts w:ascii="宋体" w:hAnsi="宋体" w:cs="宋体"/>
                <w:color w:val="000000"/>
                <w:kern w:val="0"/>
                <w:szCs w:val="21"/>
              </w:rPr>
            </w:pPr>
            <w:r>
              <w:rPr>
                <w:rFonts w:hint="eastAsia" w:ascii="宋体" w:hAnsi="宋体" w:cs="宋体"/>
                <w:color w:val="000000"/>
                <w:kern w:val="0"/>
                <w:szCs w:val="21"/>
              </w:rPr>
              <w:t>负责人：</w:t>
            </w:r>
          </w:p>
          <w:p>
            <w:pPr>
              <w:overflowPunct w:val="0"/>
              <w:autoSpaceDE w:val="0"/>
              <w:autoSpaceDN w:val="0"/>
              <w:adjustRightInd w:val="0"/>
              <w:spacing w:line="360" w:lineRule="auto"/>
              <w:ind w:right="1449"/>
              <w:jc w:val="right"/>
              <w:rPr>
                <w:rFonts w:ascii="宋体" w:hAnsi="宋体" w:cs="宋体"/>
                <w:color w:val="000000"/>
                <w:kern w:val="0"/>
                <w:szCs w:val="21"/>
              </w:rPr>
            </w:pPr>
            <w:r>
              <w:rPr>
                <w:rFonts w:hint="eastAsia" w:ascii="宋体" w:hAnsi="宋体" w:cs="宋体"/>
                <w:color w:val="000000"/>
                <w:kern w:val="0"/>
                <w:szCs w:val="21"/>
              </w:rPr>
              <w:t>（公章)</w:t>
            </w:r>
          </w:p>
          <w:p>
            <w:pPr>
              <w:wordWrap w:val="0"/>
              <w:overflowPunct w:val="0"/>
              <w:autoSpaceDE w:val="0"/>
              <w:autoSpaceDN w:val="0"/>
              <w:adjustRightInd w:val="0"/>
              <w:spacing w:line="360" w:lineRule="auto"/>
              <w:ind w:right="1239"/>
              <w:jc w:val="right"/>
              <w:rPr>
                <w:rFonts w:ascii="宋体" w:hAnsi="宋体"/>
                <w:color w:val="000000"/>
                <w:kern w:val="0"/>
                <w:szCs w:val="21"/>
              </w:rPr>
            </w:pPr>
            <w:r>
              <w:rPr>
                <w:rFonts w:hint="eastAsia" w:ascii="宋体" w:hAnsi="宋体" w:cs="宋体"/>
                <w:color w:val="000000"/>
                <w:kern w:val="0"/>
                <w:szCs w:val="21"/>
              </w:rPr>
              <w:t>年  月  日</w:t>
            </w:r>
          </w:p>
          <w:p>
            <w:pPr>
              <w:overflowPunct w:val="0"/>
              <w:autoSpaceDE w:val="0"/>
              <w:autoSpaceDN w:val="0"/>
              <w:adjustRightInd w:val="0"/>
              <w:snapToGrid w:val="0"/>
              <w:jc w:val="left"/>
              <w:rPr>
                <w:rFonts w:ascii="宋体" w:hAnsi="宋体"/>
                <w:color w:val="000000"/>
                <w:kern w:val="0"/>
                <w:szCs w:val="21"/>
              </w:rPr>
            </w:pPr>
          </w:p>
        </w:tc>
      </w:tr>
    </w:tbl>
    <w:p>
      <w:pPr>
        <w:overflowPunct w:val="0"/>
        <w:spacing w:after="120"/>
        <w:rPr>
          <w:rFonts w:ascii="方正黑体简体" w:hAnsi="Courier New" w:eastAsia="方正黑体简体" w:cs="宋体"/>
          <w:color w:val="000000"/>
          <w:sz w:val="28"/>
          <w:szCs w:val="28"/>
        </w:rPr>
      </w:pPr>
    </w:p>
    <w:p>
      <w:pPr>
        <w:overflowPunct w:val="0"/>
        <w:spacing w:after="120"/>
        <w:rPr>
          <w:rFonts w:asciiTheme="minorEastAsia" w:hAnsiTheme="minorEastAsia"/>
          <w:b/>
          <w:color w:val="000000"/>
          <w:sz w:val="28"/>
          <w:szCs w:val="28"/>
        </w:rPr>
      </w:pPr>
      <w:r>
        <w:rPr>
          <w:rFonts w:hint="eastAsia" w:cs="宋体" w:asciiTheme="minorEastAsia" w:hAnsiTheme="minorEastAsia"/>
          <w:b/>
          <w:color w:val="000000"/>
          <w:sz w:val="28"/>
          <w:szCs w:val="28"/>
        </w:rPr>
        <w:t>附件2</w:t>
      </w:r>
    </w:p>
    <w:p>
      <w:pPr>
        <w:spacing w:line="720" w:lineRule="exact"/>
        <w:jc w:val="center"/>
        <w:rPr>
          <w:rFonts w:ascii="方正小标宋简体" w:hAnsi="Courier New" w:eastAsia="方正小标宋简体"/>
          <w:b/>
          <w:sz w:val="32"/>
          <w:szCs w:val="32"/>
        </w:rPr>
      </w:pPr>
      <w:r>
        <w:rPr>
          <w:rFonts w:hint="eastAsia" w:ascii="方正小标宋简体" w:hAnsi="Courier New" w:eastAsia="方正小标宋简体"/>
          <w:b/>
          <w:sz w:val="32"/>
          <w:szCs w:val="32"/>
        </w:rPr>
        <w:t>内江师范学院  某某</w:t>
      </w:r>
      <w:r>
        <w:rPr>
          <w:rFonts w:ascii="方正小标宋简体" w:hAnsi="Courier New" w:eastAsia="方正小标宋简体"/>
          <w:b/>
          <w:sz w:val="32"/>
          <w:szCs w:val="32"/>
        </w:rPr>
        <w:t>学校</w:t>
      </w:r>
    </w:p>
    <w:p>
      <w:pPr>
        <w:spacing w:line="720" w:lineRule="exact"/>
        <w:jc w:val="center"/>
        <w:rPr>
          <w:rFonts w:ascii="方正小标宋简体" w:hAnsi="Courier New" w:eastAsia="方正小标宋简体"/>
          <w:b/>
          <w:sz w:val="32"/>
          <w:szCs w:val="32"/>
        </w:rPr>
      </w:pPr>
      <w:r>
        <w:rPr>
          <w:rFonts w:hint="eastAsia" w:ascii="方正小标宋简体" w:hAnsi="Courier New" w:eastAsia="方正小标宋简体"/>
          <w:b/>
          <w:sz w:val="32"/>
          <w:szCs w:val="32"/>
        </w:rPr>
        <w:t>共建实践教学基地协议书</w:t>
      </w:r>
    </w:p>
    <w:p>
      <w:pPr>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（适用于师范类专业）</w:t>
      </w:r>
    </w:p>
    <w:p>
      <w:pPr>
        <w:snapToGrid w:val="0"/>
        <w:spacing w:line="520" w:lineRule="exact"/>
        <w:rPr>
          <w:rFonts w:ascii="仿宋_GB2312" w:hAnsi="宋体" w:eastAsia="仿宋_GB2312"/>
          <w:b/>
          <w:bCs/>
          <w:sz w:val="30"/>
          <w:szCs w:val="30"/>
        </w:rPr>
      </w:pPr>
    </w:p>
    <w:p>
      <w:pPr>
        <w:snapToGrid w:val="0"/>
        <w:spacing w:line="520" w:lineRule="exact"/>
        <w:rPr>
          <w:rFonts w:ascii="仿宋_GB2312" w:hAnsi="宋体" w:eastAsia="仿宋_GB2312"/>
          <w:b/>
          <w:bCs/>
          <w:sz w:val="30"/>
          <w:szCs w:val="30"/>
        </w:rPr>
      </w:pPr>
      <w:r>
        <w:rPr>
          <w:rFonts w:hint="eastAsia" w:ascii="仿宋_GB2312" w:hAnsi="宋体" w:eastAsia="仿宋_GB2312"/>
          <w:b/>
          <w:bCs/>
          <w:sz w:val="30"/>
          <w:szCs w:val="30"/>
        </w:rPr>
        <w:t>甲方：内江师范学院</w:t>
      </w:r>
    </w:p>
    <w:p>
      <w:pPr>
        <w:snapToGrid w:val="0"/>
        <w:spacing w:line="520" w:lineRule="exact"/>
        <w:rPr>
          <w:rFonts w:ascii="仿宋_GB2312" w:hAnsi="宋体" w:eastAsia="仿宋_GB2312"/>
          <w:b/>
          <w:bCs/>
          <w:sz w:val="30"/>
          <w:szCs w:val="30"/>
        </w:rPr>
      </w:pPr>
      <w:r>
        <w:rPr>
          <w:rFonts w:hint="eastAsia" w:ascii="仿宋_GB2312" w:hAnsi="宋体" w:eastAsia="仿宋_GB2312"/>
          <w:b/>
          <w:bCs/>
          <w:sz w:val="30"/>
          <w:szCs w:val="30"/>
        </w:rPr>
        <w:t>乙方：</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为建立高校与地方政府、中小学协同培养新机制，充分利用校地双方的优势，针对教师培养的薄弱环节和深层次问题，推进教师队伍建设，双方本着“目标一致、责任分担、利益共享、合作发展”的工作原则，在平等自愿、充分酝酿的基础上，经甲乙方友好协商，现就双方共建“实践教学基地”达成本协议。</w:t>
      </w:r>
    </w:p>
    <w:p>
      <w:pPr>
        <w:snapToGrid w:val="0"/>
        <w:spacing w:line="480" w:lineRule="exact"/>
        <w:ind w:firstLine="551" w:firstLineChars="196"/>
        <w:rPr>
          <w:rFonts w:ascii="仿宋_GB2312" w:hAnsi="宋体" w:eastAsia="仿宋_GB2312"/>
          <w:b/>
          <w:sz w:val="28"/>
          <w:szCs w:val="28"/>
        </w:rPr>
      </w:pPr>
      <w:r>
        <w:rPr>
          <w:rFonts w:hint="eastAsia" w:ascii="仿宋_GB2312" w:hAnsi="宋体" w:eastAsia="仿宋_GB2312"/>
          <w:b/>
          <w:sz w:val="28"/>
          <w:szCs w:val="28"/>
        </w:rPr>
        <w:t>一、工作领导机构及主要工作</w:t>
      </w:r>
    </w:p>
    <w:p>
      <w:pPr>
        <w:snapToGrid w:val="0"/>
        <w:spacing w:line="480" w:lineRule="exact"/>
        <w:ind w:firstLine="548" w:firstLineChars="196"/>
        <w:rPr>
          <w:rFonts w:ascii="仿宋_GB2312" w:hAnsi="宋体" w:eastAsia="仿宋_GB2312"/>
          <w:sz w:val="28"/>
          <w:szCs w:val="28"/>
        </w:rPr>
      </w:pPr>
      <w:r>
        <w:rPr>
          <w:rFonts w:hint="eastAsia" w:ascii="仿宋_GB2312" w:hAnsi="宋体" w:eastAsia="仿宋_GB2312"/>
          <w:sz w:val="28"/>
          <w:szCs w:val="28"/>
        </w:rPr>
        <w:t>由甲乙双方有关领导组成内江师范学院实践教学工作领导小组，负责处理、协调、解决教育实习中的重大问题。</w:t>
      </w:r>
    </w:p>
    <w:p>
      <w:pPr>
        <w:snapToGrid w:val="0"/>
        <w:spacing w:line="4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二、双方职责与义务</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（一）甲方职责与义务</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1.在协议有效期内，甲方按照培养方案要求派送师范类学生到乙方开展实践教学活动。</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2.甲方应提前半学期将参加实践教学活动的学生名单、实践教学内容、实践教学要求及学生报到时间、实践教学结束时间等有关事项通知乙方。</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3.甲方在实践教学活动期间派出指导教师，负责对学生进行指导和日常管理，并对学生开展思想、诚信和安全等方面的教育。向乙方担任实践教学指导任务的教师颁发“内江师范学院实践教学指导教师”聘书。</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4. 实践教学开展前，做好学生的教育、动员工作，确保实践教学活动的顺利进行。</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5.按相应标准向乙方支付实践教学指导及管理费。</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6.支持乙方的教育教学工作，为乙方教师培训、教学研究提供便利条件，并在经费上予以优惠。</w:t>
      </w:r>
    </w:p>
    <w:p>
      <w:pPr>
        <w:snapToGrid w:val="0"/>
        <w:spacing w:line="480" w:lineRule="exact"/>
        <w:ind w:firstLine="525"/>
        <w:rPr>
          <w:rFonts w:ascii="仿宋_GB2312" w:hAnsi="宋体" w:eastAsia="仿宋_GB2312"/>
          <w:sz w:val="28"/>
          <w:szCs w:val="28"/>
        </w:rPr>
      </w:pPr>
      <w:r>
        <w:rPr>
          <w:rFonts w:hint="eastAsia" w:ascii="仿宋_GB2312" w:hAnsi="宋体" w:eastAsia="仿宋_GB2312"/>
          <w:sz w:val="28"/>
          <w:szCs w:val="28"/>
        </w:rPr>
        <w:t>7.利用甲方公开刊物为乙方教职工发表论文提供方便。</w:t>
      </w:r>
    </w:p>
    <w:p>
      <w:pPr>
        <w:snapToGrid w:val="0"/>
        <w:spacing w:line="480" w:lineRule="exact"/>
        <w:ind w:firstLine="525"/>
        <w:rPr>
          <w:rFonts w:ascii="仿宋_GB2312" w:hAnsi="宋体" w:eastAsia="仿宋_GB2312"/>
          <w:sz w:val="28"/>
          <w:szCs w:val="28"/>
        </w:rPr>
      </w:pPr>
      <w:r>
        <w:rPr>
          <w:rFonts w:hint="eastAsia" w:ascii="仿宋_GB2312" w:hAnsi="宋体" w:eastAsia="仿宋_GB2312"/>
          <w:sz w:val="28"/>
          <w:szCs w:val="28"/>
        </w:rPr>
        <w:t>8. 甲方在开展实践教学期间，为全体学生购买意外伤害保险。</w:t>
      </w:r>
    </w:p>
    <w:p>
      <w:pPr>
        <w:snapToGrid w:val="0"/>
        <w:spacing w:line="480" w:lineRule="exact"/>
        <w:ind w:firstLine="554" w:firstLineChars="198"/>
        <w:rPr>
          <w:rFonts w:ascii="仿宋_GB2312" w:hAnsi="宋体" w:eastAsia="仿宋_GB2312"/>
          <w:sz w:val="28"/>
          <w:szCs w:val="28"/>
        </w:rPr>
      </w:pPr>
      <w:r>
        <w:rPr>
          <w:rFonts w:hint="eastAsia" w:ascii="仿宋_GB2312" w:hAnsi="宋体" w:eastAsia="仿宋_GB2312"/>
          <w:sz w:val="28"/>
          <w:szCs w:val="28"/>
        </w:rPr>
        <w:t>（二）乙方职责与义务</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1.为甲方提供实践教学场所，具体实施甲方与乙方协商确定的实践教学方案，对参加实践教学的学生进行严格管理，保质保量地做好实践教学工作。</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2.承担甲方参加实践教学学生的常规管理工作和教学指导工作，为每一位学生确定一名政治素质好、业务能力强、具有一定教学经验的教师作为指导教师，负责对学生进行专业指导。</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3.原则上每年接收甲方10-20名本、专科学生，并协助安排学生食宿（学生住宿费包含在甲方支付给乙方的实践教学指导及管理费中，生活费由学生自理）。</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4.开展实践教学活动期间，协助安排甲方指导教师的食宿（食宿费用由甲方指导教师自理）。</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5.支持甲方的基础课程改革、研究，并提供相应的条件。</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6.为甲方教师教育类课程提供师资，费用由甲方承担。</w:t>
      </w:r>
    </w:p>
    <w:p>
      <w:pPr>
        <w:widowControl/>
        <w:snapToGrid w:val="0"/>
        <w:spacing w:line="4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三、安全责任</w:t>
      </w:r>
    </w:p>
    <w:p>
      <w:pPr>
        <w:tabs>
          <w:tab w:val="left" w:pos="1320"/>
        </w:tabs>
        <w:snapToGrid w:val="0"/>
        <w:spacing w:line="480" w:lineRule="exact"/>
        <w:ind w:firstLine="630" w:firstLineChars="225"/>
        <w:rPr>
          <w:rFonts w:ascii="仿宋_GB2312" w:hAnsi="宋体" w:eastAsia="仿宋_GB2312"/>
          <w:sz w:val="28"/>
          <w:szCs w:val="28"/>
        </w:rPr>
      </w:pPr>
      <w:r>
        <w:rPr>
          <w:rFonts w:hint="eastAsia" w:ascii="仿宋_GB2312" w:hAnsi="宋体" w:eastAsia="仿宋_GB2312"/>
          <w:sz w:val="28"/>
          <w:szCs w:val="28"/>
        </w:rPr>
        <w:t>1.甲乙双方须高度重视参加实践教学学生的安全管理和教育工作。乙方制定并实施健全的安全管理制度，要求甲方参加实践教学学生自觉遵守。在参加实践教学学生遵守实践教学基地规章制度的情况下，乙方对甲方学生在实践教学基地区域内，参加乙方组织的实践教学活动发生的非学生自身健康原因造成的安全事故承担相应的责任。</w:t>
      </w:r>
    </w:p>
    <w:p>
      <w:pPr>
        <w:tabs>
          <w:tab w:val="left" w:pos="1320"/>
        </w:tabs>
        <w:snapToGrid w:val="0"/>
        <w:spacing w:line="480" w:lineRule="exact"/>
        <w:ind w:firstLine="630" w:firstLineChars="225"/>
        <w:rPr>
          <w:rFonts w:ascii="仿宋_GB2312" w:hAnsi="宋体" w:eastAsia="仿宋_GB2312"/>
          <w:sz w:val="28"/>
          <w:szCs w:val="28"/>
        </w:rPr>
      </w:pPr>
      <w:r>
        <w:rPr>
          <w:rFonts w:hint="eastAsia" w:ascii="仿宋_GB2312" w:hAnsi="宋体" w:eastAsia="仿宋_GB2312"/>
          <w:sz w:val="28"/>
          <w:szCs w:val="28"/>
        </w:rPr>
        <w:t>2.甲方学生在实践教学基地区域内参加实践教学活动，由于违反实践教学基地规章制度或自身过错造成的安全事故，由甲方学生自行负责。</w:t>
      </w:r>
    </w:p>
    <w:p>
      <w:pPr>
        <w:widowControl/>
        <w:snapToGrid w:val="0"/>
        <w:spacing w:line="480" w:lineRule="exact"/>
        <w:ind w:firstLine="630" w:firstLineChars="225"/>
        <w:rPr>
          <w:rFonts w:ascii="仿宋_GB2312" w:hAnsi="宋体" w:eastAsia="仿宋_GB2312"/>
          <w:b/>
          <w:sz w:val="28"/>
          <w:szCs w:val="28"/>
        </w:rPr>
      </w:pPr>
      <w:r>
        <w:rPr>
          <w:rFonts w:hint="eastAsia" w:ascii="仿宋_GB2312" w:hAnsi="宋体" w:eastAsia="仿宋_GB2312"/>
          <w:sz w:val="28"/>
          <w:szCs w:val="28"/>
        </w:rPr>
        <w:t>3.甲方学生在实践教学基地区域外发生安全事故的，由甲方学生自行承担责任。</w:t>
      </w:r>
    </w:p>
    <w:p>
      <w:pPr>
        <w:widowControl/>
        <w:snapToGrid w:val="0"/>
        <w:spacing w:line="4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四、合作期限</w:t>
      </w:r>
    </w:p>
    <w:p>
      <w:pPr>
        <w:widowControl/>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1.双方本着互惠互利、长期合作的原则，共同积极扩展合作的规模和领域。</w:t>
      </w:r>
    </w:p>
    <w:p>
      <w:pPr>
        <w:widowControl/>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2.本协议有效期为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widowControl/>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3.如任何一方要求对本协议的内容进行修订，须于协议到期前一个月内通知对方。双方对修订意见达成一致后，以修订协议为准，延续合作。</w:t>
      </w:r>
    </w:p>
    <w:p>
      <w:pPr>
        <w:widowControl/>
        <w:snapToGrid w:val="0"/>
        <w:spacing w:line="4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五、违约责任</w:t>
      </w:r>
    </w:p>
    <w:p>
      <w:pPr>
        <w:widowControl/>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1.甲乙双方均应严格遵守合同,如有违约行为发生，违约方应承担违约责任；违约方给对方造成损失的，应当予以</w:t>
      </w:r>
      <w:r>
        <w:rPr>
          <w:rFonts w:hint="eastAsia" w:ascii="仿宋_GB2312" w:hAnsi="宋体" w:eastAsia="仿宋_GB2312"/>
          <w:sz w:val="28"/>
          <w:szCs w:val="28"/>
          <w:lang w:val="en-GB"/>
        </w:rPr>
        <w:t>赔偿</w:t>
      </w:r>
      <w:r>
        <w:rPr>
          <w:rFonts w:hint="eastAsia" w:ascii="仿宋_GB2312" w:hAnsi="宋体" w:eastAsia="仿宋_GB2312"/>
          <w:sz w:val="28"/>
          <w:szCs w:val="28"/>
        </w:rPr>
        <w:t>。</w:t>
      </w:r>
    </w:p>
    <w:p>
      <w:pPr>
        <w:widowControl/>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2.合同签订后一方如需要中途变更，应与对方达成一致意见。合同双方对同意变更的条款应该以书面形式予以确认。任何一方不得擅自变更，否则将承担违约责任。</w:t>
      </w:r>
    </w:p>
    <w:p>
      <w:pPr>
        <w:snapToGrid w:val="0"/>
        <w:spacing w:line="480" w:lineRule="exact"/>
        <w:ind w:firstLine="540"/>
        <w:rPr>
          <w:rFonts w:ascii="仿宋_GB2312" w:hAnsi="宋体" w:eastAsia="仿宋_GB2312"/>
          <w:b/>
          <w:sz w:val="28"/>
          <w:szCs w:val="28"/>
        </w:rPr>
      </w:pPr>
      <w:r>
        <w:rPr>
          <w:rFonts w:hint="eastAsia" w:ascii="仿宋_GB2312" w:hAnsi="宋体" w:eastAsia="仿宋_GB2312"/>
          <w:b/>
          <w:sz w:val="28"/>
          <w:szCs w:val="28"/>
        </w:rPr>
        <w:t>六、其他</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1.未尽事宜由双方协商补充、解决。</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2.本协议经甲乙双方盖具公章后生效。</w:t>
      </w:r>
    </w:p>
    <w:p>
      <w:pPr>
        <w:snapToGrid w:val="0"/>
        <w:spacing w:line="480" w:lineRule="exact"/>
        <w:ind w:firstLine="540"/>
        <w:rPr>
          <w:rFonts w:ascii="仿宋_GB2312" w:hAnsi="宋体" w:eastAsia="仿宋_GB2312"/>
          <w:sz w:val="28"/>
          <w:szCs w:val="28"/>
        </w:rPr>
      </w:pPr>
      <w:r>
        <w:rPr>
          <w:rFonts w:hint="eastAsia" w:ascii="仿宋_GB2312" w:hAnsi="宋体" w:eastAsia="仿宋_GB2312"/>
          <w:sz w:val="28"/>
          <w:szCs w:val="28"/>
        </w:rPr>
        <w:t>本协议一式四份，甲方执三份、乙方执一份。</w:t>
      </w:r>
    </w:p>
    <w:p>
      <w:pPr>
        <w:snapToGrid w:val="0"/>
        <w:spacing w:line="480" w:lineRule="exact"/>
        <w:ind w:firstLine="411" w:firstLineChars="147"/>
        <w:rPr>
          <w:rFonts w:ascii="仿宋_GB2312" w:hAnsi="宋体" w:eastAsia="仿宋_GB2312"/>
          <w:bCs/>
          <w:sz w:val="28"/>
          <w:szCs w:val="28"/>
        </w:rPr>
      </w:pPr>
    </w:p>
    <w:p>
      <w:pPr>
        <w:snapToGrid w:val="0"/>
        <w:spacing w:line="480" w:lineRule="exact"/>
        <w:ind w:firstLine="411" w:firstLineChars="147"/>
        <w:rPr>
          <w:rFonts w:ascii="仿宋_GB2312" w:hAnsi="宋体" w:eastAsia="仿宋_GB2312"/>
          <w:bCs/>
          <w:sz w:val="28"/>
          <w:szCs w:val="28"/>
        </w:rPr>
      </w:pPr>
    </w:p>
    <w:p>
      <w:pPr>
        <w:snapToGrid w:val="0"/>
        <w:spacing w:line="640" w:lineRule="exact"/>
        <w:ind w:firstLine="411" w:firstLineChars="147"/>
        <w:rPr>
          <w:rFonts w:ascii="仿宋_GB2312" w:hAnsi="宋体" w:eastAsia="仿宋_GB2312"/>
          <w:bCs/>
          <w:sz w:val="28"/>
          <w:szCs w:val="28"/>
        </w:rPr>
      </w:pPr>
      <w:r>
        <w:rPr>
          <w:rFonts w:hint="eastAsia" w:ascii="仿宋_GB2312" w:hAnsi="宋体" w:eastAsia="仿宋_GB2312"/>
          <w:bCs/>
          <w:sz w:val="28"/>
          <w:szCs w:val="28"/>
        </w:rPr>
        <w:t>甲方（签章）：</w:t>
      </w:r>
      <w:r>
        <w:rPr>
          <w:rFonts w:hint="eastAsia" w:ascii="仿宋_GB2312" w:hAnsi="宋体" w:eastAsia="仿宋_GB2312"/>
          <w:bCs/>
          <w:sz w:val="28"/>
          <w:szCs w:val="28"/>
          <w:u w:val="single"/>
        </w:rPr>
        <w:t>内江师范学院</w:t>
      </w:r>
      <w:r>
        <w:rPr>
          <w:rFonts w:hint="eastAsia" w:ascii="仿宋_GB2312" w:hAnsi="宋体" w:eastAsia="仿宋_GB2312"/>
          <w:bCs/>
          <w:sz w:val="28"/>
          <w:szCs w:val="28"/>
        </w:rPr>
        <w:t xml:space="preserve">         </w:t>
      </w:r>
      <w:r>
        <w:rPr>
          <w:rFonts w:hint="eastAsia" w:ascii="仿宋_GB2312" w:hAnsi="宋体" w:eastAsia="仿宋_GB2312"/>
          <w:bCs/>
          <w:sz w:val="28"/>
          <w:szCs w:val="28"/>
        </w:rPr>
        <w:tab/>
      </w:r>
      <w:r>
        <w:rPr>
          <w:rFonts w:hint="eastAsia" w:ascii="仿宋_GB2312" w:hAnsi="宋体" w:eastAsia="仿宋_GB2312"/>
          <w:bCs/>
          <w:sz w:val="28"/>
          <w:szCs w:val="28"/>
        </w:rPr>
        <w:t>乙方（签章）：</w:t>
      </w:r>
      <w:r>
        <w:rPr>
          <w:rFonts w:hint="eastAsia" w:ascii="仿宋_GB2312" w:hAnsi="宋体" w:eastAsia="仿宋_GB2312"/>
          <w:bCs/>
          <w:sz w:val="28"/>
          <w:szCs w:val="28"/>
          <w:u w:val="single"/>
        </w:rPr>
        <w:t xml:space="preserve">                      </w:t>
      </w:r>
    </w:p>
    <w:p>
      <w:pPr>
        <w:snapToGrid w:val="0"/>
        <w:spacing w:line="640" w:lineRule="exact"/>
        <w:ind w:firstLine="411" w:firstLineChars="147"/>
        <w:rPr>
          <w:rFonts w:ascii="仿宋_GB2312" w:hAnsi="宋体" w:eastAsia="仿宋_GB2312"/>
          <w:bCs/>
          <w:sz w:val="28"/>
          <w:szCs w:val="28"/>
        </w:rPr>
      </w:pPr>
      <w:r>
        <w:rPr>
          <w:rFonts w:hint="eastAsia" w:ascii="仿宋_GB2312" w:hAnsi="宋体" w:eastAsia="仿宋_GB2312"/>
          <w:bCs/>
          <w:sz w:val="28"/>
          <w:szCs w:val="28"/>
        </w:rPr>
        <w:t>甲方代表：</w:t>
      </w:r>
      <w:r>
        <w:rPr>
          <w:rFonts w:hint="eastAsia" w:ascii="仿宋_GB2312" w:hAnsi="宋体" w:eastAsia="仿宋_GB2312"/>
          <w:bCs/>
          <w:sz w:val="28"/>
          <w:szCs w:val="28"/>
        </w:rPr>
        <w:tab/>
      </w:r>
      <w:r>
        <w:rPr>
          <w:rFonts w:hint="eastAsia" w:ascii="仿宋_GB2312" w:hAnsi="宋体" w:eastAsia="仿宋_GB2312"/>
          <w:bCs/>
          <w:sz w:val="28"/>
          <w:szCs w:val="28"/>
        </w:rPr>
        <w:tab/>
      </w:r>
      <w:r>
        <w:rPr>
          <w:rFonts w:hint="eastAsia" w:ascii="仿宋_GB2312" w:hAnsi="宋体" w:eastAsia="仿宋_GB2312"/>
          <w:bCs/>
          <w:sz w:val="28"/>
          <w:szCs w:val="28"/>
        </w:rPr>
        <w:tab/>
      </w:r>
      <w:r>
        <w:rPr>
          <w:rFonts w:hint="eastAsia" w:ascii="仿宋_GB2312" w:hAnsi="宋体" w:eastAsia="仿宋_GB2312"/>
          <w:bCs/>
          <w:sz w:val="28"/>
          <w:szCs w:val="28"/>
        </w:rPr>
        <w:tab/>
      </w:r>
      <w:r>
        <w:rPr>
          <w:rFonts w:hint="eastAsia" w:ascii="仿宋_GB2312" w:hAnsi="宋体" w:eastAsia="仿宋_GB2312"/>
          <w:bCs/>
          <w:sz w:val="28"/>
          <w:szCs w:val="28"/>
        </w:rPr>
        <w:tab/>
      </w:r>
      <w:r>
        <w:rPr>
          <w:rFonts w:hint="eastAsia" w:ascii="仿宋_GB2312" w:hAnsi="宋体" w:eastAsia="仿宋_GB2312"/>
          <w:bCs/>
          <w:sz w:val="28"/>
          <w:szCs w:val="28"/>
        </w:rPr>
        <w:t xml:space="preserve">     乙方代表：            </w:t>
      </w:r>
    </w:p>
    <w:p>
      <w:pPr>
        <w:snapToGrid w:val="0"/>
        <w:spacing w:line="640" w:lineRule="exact"/>
        <w:ind w:firstLine="411" w:firstLineChars="147"/>
        <w:rPr>
          <w:rFonts w:ascii="仿宋_GB2312" w:hAnsi="宋体" w:eastAsia="仿宋_GB2312"/>
          <w:sz w:val="28"/>
          <w:szCs w:val="28"/>
        </w:rPr>
      </w:pPr>
      <w:r>
        <w:rPr>
          <w:rFonts w:hint="eastAsia" w:ascii="仿宋_GB2312" w:hAnsi="宋体" w:eastAsia="仿宋_GB2312"/>
          <w:sz w:val="28"/>
          <w:szCs w:val="28"/>
        </w:rPr>
        <w:t>电话：234</w:t>
      </w:r>
      <w:r>
        <w:rPr>
          <w:rFonts w:ascii="仿宋_GB2312" w:hAnsi="宋体" w:eastAsia="仿宋_GB2312"/>
          <w:sz w:val="28"/>
          <w:szCs w:val="28"/>
        </w:rPr>
        <w:t>3319</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 xml:space="preserve">  电话：</w:t>
      </w:r>
    </w:p>
    <w:p>
      <w:pPr>
        <w:snapToGrid w:val="0"/>
        <w:spacing w:line="640" w:lineRule="exact"/>
        <w:ind w:firstLine="411" w:firstLineChars="147"/>
        <w:rPr>
          <w:rFonts w:ascii="仿宋_GB2312" w:hAnsi="宋体" w:eastAsia="仿宋_GB2312"/>
          <w:sz w:val="28"/>
          <w:szCs w:val="28"/>
        </w:rPr>
      </w:pPr>
      <w:r>
        <w:rPr>
          <w:rFonts w:hint="eastAsia" w:ascii="仿宋_GB2312" w:hAnsi="宋体" w:eastAsia="仿宋_GB2312"/>
          <w:sz w:val="28"/>
          <w:szCs w:val="28"/>
        </w:rPr>
        <w:t>时间</w:t>
      </w:r>
      <w:r>
        <w:rPr>
          <w:rFonts w:hint="eastAsia" w:ascii="仿宋_GB2312" w:hAnsi="宋体" w:eastAsia="仿宋_GB2312"/>
          <w:bCs/>
          <w:sz w:val="28"/>
          <w:szCs w:val="28"/>
        </w:rPr>
        <w:t>：      年    月    日</w:t>
      </w:r>
      <w:r>
        <w:rPr>
          <w:rFonts w:hint="eastAsia" w:ascii="仿宋_GB2312" w:hAnsi="宋体" w:eastAsia="仿宋_GB2312"/>
          <w:bCs/>
          <w:sz w:val="28"/>
          <w:szCs w:val="28"/>
        </w:rPr>
        <w:tab/>
      </w:r>
      <w:r>
        <w:rPr>
          <w:rFonts w:hint="eastAsia" w:ascii="仿宋_GB2312" w:hAnsi="宋体" w:eastAsia="仿宋_GB2312"/>
          <w:bCs/>
          <w:sz w:val="28"/>
          <w:szCs w:val="28"/>
        </w:rPr>
        <w:tab/>
      </w:r>
      <w:r>
        <w:rPr>
          <w:rFonts w:hint="eastAsia" w:ascii="仿宋_GB2312" w:hAnsi="宋体" w:eastAsia="仿宋_GB2312"/>
          <w:bCs/>
          <w:sz w:val="28"/>
          <w:szCs w:val="28"/>
        </w:rPr>
        <w:t>时间：      年    月    日</w:t>
      </w:r>
    </w:p>
    <w:p>
      <w:pPr>
        <w:overflowPunct w:val="0"/>
        <w:spacing w:after="120"/>
        <w:rPr>
          <w:rFonts w:ascii="长城仿宋体" w:hAnsi="Courier New" w:eastAsia="长城仿宋体"/>
          <w:color w:val="000000"/>
          <w:szCs w:val="21"/>
        </w:rPr>
      </w:pPr>
    </w:p>
    <w:p>
      <w:pPr>
        <w:overflowPunct w:val="0"/>
        <w:spacing w:after="120"/>
        <w:rPr>
          <w:rFonts w:ascii="长城仿宋体" w:hAnsi="Courier New" w:eastAsia="长城仿宋体"/>
          <w:color w:val="000000"/>
          <w:szCs w:val="21"/>
        </w:rPr>
      </w:pPr>
    </w:p>
    <w:p>
      <w:pPr>
        <w:spacing w:line="720" w:lineRule="exact"/>
        <w:jc w:val="center"/>
        <w:rPr>
          <w:rFonts w:ascii="方正小标宋简体" w:hAnsi="Courier New" w:eastAsia="方正小标宋简体"/>
          <w:bCs/>
          <w:sz w:val="44"/>
          <w:szCs w:val="44"/>
        </w:rPr>
      </w:pPr>
    </w:p>
    <w:p>
      <w:pPr>
        <w:spacing w:line="720" w:lineRule="exact"/>
        <w:jc w:val="center"/>
        <w:rPr>
          <w:rFonts w:ascii="方正小标宋简体" w:hAnsi="Courier New" w:eastAsia="方正小标宋简体"/>
          <w:bCs/>
          <w:sz w:val="44"/>
          <w:szCs w:val="44"/>
        </w:rPr>
      </w:pPr>
    </w:p>
    <w:p>
      <w:pPr>
        <w:spacing w:line="720" w:lineRule="exact"/>
        <w:jc w:val="center"/>
        <w:rPr>
          <w:rFonts w:ascii="方正小标宋简体" w:hAnsi="Courier New" w:eastAsia="方正小标宋简体"/>
          <w:bCs/>
          <w:sz w:val="44"/>
          <w:szCs w:val="44"/>
        </w:rPr>
      </w:pPr>
    </w:p>
    <w:p>
      <w:pPr>
        <w:spacing w:line="720" w:lineRule="exact"/>
        <w:jc w:val="center"/>
        <w:rPr>
          <w:rFonts w:ascii="方正小标宋简体" w:hAnsi="Courier New" w:eastAsia="方正小标宋简体"/>
          <w:b/>
          <w:color w:val="FF0000"/>
          <w:sz w:val="32"/>
          <w:szCs w:val="32"/>
        </w:rPr>
      </w:pPr>
      <w:r>
        <w:rPr>
          <w:rFonts w:hint="eastAsia" w:ascii="方正小标宋简体" w:hAnsi="Courier New" w:eastAsia="方正小标宋简体"/>
          <w:b/>
          <w:bCs/>
          <w:sz w:val="32"/>
          <w:szCs w:val="32"/>
        </w:rPr>
        <w:t>内江师范学院  某某单位</w:t>
      </w:r>
    </w:p>
    <w:p>
      <w:pPr>
        <w:spacing w:line="720" w:lineRule="exact"/>
        <w:jc w:val="center"/>
        <w:rPr>
          <w:rFonts w:ascii="方正小标宋简体" w:hAnsi="Courier New" w:eastAsia="方正小标宋简体"/>
          <w:b/>
          <w:sz w:val="32"/>
          <w:szCs w:val="32"/>
        </w:rPr>
      </w:pPr>
      <w:r>
        <w:rPr>
          <w:rFonts w:hint="eastAsia" w:ascii="方正小标宋简体" w:hAnsi="Courier New" w:eastAsia="方正小标宋简体"/>
          <w:b/>
          <w:bCs/>
          <w:sz w:val="32"/>
          <w:szCs w:val="32"/>
        </w:rPr>
        <w:t>共建实践教学基地协议书</w:t>
      </w:r>
    </w:p>
    <w:p>
      <w:pPr>
        <w:jc w:val="center"/>
        <w:rPr>
          <w:rFonts w:ascii="仿宋_GB2312" w:hAnsi="宋体" w:eastAsia="仿宋_GB2312"/>
          <w:b/>
          <w:bCs/>
          <w:sz w:val="30"/>
          <w:szCs w:val="30"/>
        </w:rPr>
      </w:pPr>
      <w:r>
        <w:rPr>
          <w:rFonts w:hint="eastAsia" w:ascii="仿宋_GB2312" w:hAnsi="宋体" w:eastAsia="仿宋_GB2312"/>
          <w:b/>
          <w:bCs/>
          <w:sz w:val="30"/>
          <w:szCs w:val="30"/>
        </w:rPr>
        <w:t>（适用于非师范类专业）</w:t>
      </w:r>
    </w:p>
    <w:p>
      <w:pPr>
        <w:rPr>
          <w:rFonts w:ascii="仿宋_GB2312" w:hAnsi="宋体" w:eastAsia="仿宋_GB2312"/>
          <w:b/>
          <w:bCs/>
          <w:sz w:val="30"/>
          <w:szCs w:val="30"/>
        </w:rPr>
      </w:pPr>
    </w:p>
    <w:p>
      <w:pPr>
        <w:rPr>
          <w:rFonts w:ascii="仿宋_GB2312" w:hAnsi="宋体" w:eastAsia="仿宋_GB2312"/>
          <w:b/>
          <w:bCs/>
          <w:sz w:val="30"/>
          <w:szCs w:val="30"/>
        </w:rPr>
      </w:pPr>
      <w:r>
        <w:rPr>
          <w:rFonts w:hint="eastAsia" w:ascii="仿宋_GB2312" w:hAnsi="宋体" w:eastAsia="仿宋_GB2312"/>
          <w:b/>
          <w:bCs/>
          <w:sz w:val="30"/>
          <w:szCs w:val="30"/>
        </w:rPr>
        <w:t>甲方：内江师范学院</w:t>
      </w:r>
    </w:p>
    <w:p>
      <w:pPr>
        <w:rPr>
          <w:rFonts w:ascii="仿宋_GB2312" w:hAnsi="宋体" w:eastAsia="仿宋_GB2312"/>
          <w:b/>
          <w:bCs/>
          <w:sz w:val="30"/>
          <w:szCs w:val="30"/>
        </w:rPr>
      </w:pPr>
      <w:r>
        <w:rPr>
          <w:rFonts w:hint="eastAsia" w:ascii="仿宋_GB2312" w:hAnsi="宋体" w:eastAsia="仿宋_GB2312"/>
          <w:b/>
          <w:bCs/>
          <w:sz w:val="30"/>
          <w:szCs w:val="30"/>
        </w:rPr>
        <w:t>乙方：</w:t>
      </w:r>
      <w:r>
        <w:rPr>
          <w:rFonts w:ascii="仿宋_GB2312" w:hAnsi="宋体" w:eastAsia="仿宋_GB2312"/>
          <w:b/>
          <w:bCs/>
          <w:sz w:val="30"/>
          <w:szCs w:val="30"/>
        </w:rPr>
        <w:t xml:space="preserve"> </w:t>
      </w:r>
    </w:p>
    <w:p>
      <w:pPr>
        <w:rPr>
          <w:rFonts w:ascii="仿宋_GB2312" w:hAnsi="宋体" w:eastAsia="仿宋_GB2312"/>
          <w:sz w:val="32"/>
          <w:szCs w:val="20"/>
        </w:rPr>
      </w:pP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为进一步促进甲方教育教学改革的深化，强化甲方学生的职业技能和职业素养，培养具有较高专业实践能力的应用型人才，甲乙双方本着校企联合、资源共享、优势互补、共同发展的原则，就相关专业实践教学、技能培训事宜，经友好协商后达成本协议。</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一、合作内容</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1．甲方在乙方建立</w:t>
      </w:r>
      <w:r>
        <w:rPr>
          <w:rFonts w:hint="eastAsia" w:ascii="仿宋_GB2312" w:hAnsi="宋体" w:eastAsia="仿宋_GB2312"/>
          <w:sz w:val="28"/>
          <w:szCs w:val="28"/>
          <w:u w:val="single"/>
        </w:rPr>
        <w:t>内江师范学院·实践教学基地</w:t>
      </w:r>
      <w:r>
        <w:rPr>
          <w:rFonts w:hint="eastAsia" w:ascii="仿宋_GB2312" w:hAnsi="宋体" w:eastAsia="仿宋_GB2312"/>
          <w:sz w:val="28"/>
          <w:szCs w:val="28"/>
        </w:rPr>
        <w:t>。</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2．甲方每年安排学生到实践教学基地参加实践教学活动，每次安排人数和专业由</w:t>
      </w:r>
      <w:r>
        <w:rPr>
          <w:rFonts w:hint="eastAsia" w:ascii="仿宋_GB2312" w:hAnsi="宋体" w:eastAsia="仿宋_GB2312"/>
          <w:color w:val="000000"/>
          <w:sz w:val="28"/>
          <w:szCs w:val="28"/>
        </w:rPr>
        <w:t>甲方二级学院与乙</w:t>
      </w:r>
      <w:r>
        <w:rPr>
          <w:rFonts w:hint="eastAsia" w:ascii="仿宋_GB2312" w:hAnsi="宋体" w:eastAsia="仿宋_GB2312"/>
          <w:sz w:val="28"/>
          <w:szCs w:val="28"/>
        </w:rPr>
        <w:t>方协商确定。以便乙方开展相关组织准备工作。</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3．实践教学的主要内容为甲方教学计划安排的专业见习、专业实习（训）</w:t>
      </w:r>
      <w:r>
        <w:rPr>
          <w:rFonts w:hint="eastAsia" w:ascii="仿宋_GB2312" w:hAnsi="Courier New" w:eastAsia="仿宋_GB2312"/>
          <w:color w:val="000000"/>
          <w:sz w:val="28"/>
          <w:szCs w:val="28"/>
        </w:rPr>
        <w:t>等实践教学环节内容。</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二、甲方权利和义务</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1．甲方负责组织学生到乙方接受相应岗位的实践教学活动。</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2．甲方负责选派指导老师，协助乙方开展实践教学工作。向乙方担任指导任务的教师颁发“内江师范学院实践教学指导教师”聘书。</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3．甲方负责确定实践教学的主要内容和具体时间。</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4．甲方学生进入乙方后应</w:t>
      </w:r>
      <w:r>
        <w:rPr>
          <w:rFonts w:hint="eastAsia" w:ascii="仿宋_GB2312" w:hAnsi="Courier New" w:eastAsia="仿宋_GB2312"/>
          <w:color w:val="000000"/>
          <w:sz w:val="28"/>
          <w:szCs w:val="28"/>
        </w:rPr>
        <w:t>服从乙方的安排，包括时间、地点和任务，并遵守乙方的各种规章制度。</w:t>
      </w:r>
      <w:r>
        <w:rPr>
          <w:rFonts w:hint="eastAsia" w:ascii="仿宋_GB2312" w:hAnsi="宋体" w:eastAsia="仿宋_GB2312"/>
          <w:sz w:val="28"/>
          <w:szCs w:val="28"/>
        </w:rPr>
        <w:t>甲方指导教师</w:t>
      </w:r>
      <w:r>
        <w:rPr>
          <w:rFonts w:hint="eastAsia" w:ascii="仿宋_GB2312" w:hAnsi="Courier New" w:eastAsia="仿宋_GB2312"/>
          <w:sz w:val="28"/>
          <w:szCs w:val="28"/>
        </w:rPr>
        <w:t>与乙方一起对学生的日常行为规范进行监督与管理</w:t>
      </w:r>
      <w:r>
        <w:rPr>
          <w:rFonts w:hint="eastAsia" w:ascii="仿宋_GB2312" w:hAnsi="宋体" w:eastAsia="仿宋_GB2312"/>
          <w:sz w:val="28"/>
          <w:szCs w:val="28"/>
        </w:rPr>
        <w:t>。</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5．甲方学生在乙方开展实践教学期间，未经乙方许可，不得将涉及乙方的任何技术</w:t>
      </w:r>
      <w:r>
        <w:rPr>
          <w:rFonts w:hint="eastAsia" w:ascii="仿宋_GB2312" w:hAnsi="Courier New" w:eastAsia="仿宋_GB2312"/>
          <w:color w:val="000000"/>
          <w:sz w:val="28"/>
          <w:szCs w:val="28"/>
        </w:rPr>
        <w:t>资料、程序通过复制等方式传播给他人，</w:t>
      </w:r>
      <w:r>
        <w:rPr>
          <w:rFonts w:hint="eastAsia" w:ascii="仿宋_GB2312" w:hAnsi="宋体" w:eastAsia="仿宋_GB2312"/>
          <w:sz w:val="28"/>
          <w:szCs w:val="28"/>
        </w:rPr>
        <w:t>也不得将实践教学内容用于基地外进行商业活动。非因乙方业务需要，学生不得私自动用乙方财产或技术资料，或将乙方财产、技术资料用于未经乙方允许的活动。甲乙双方有义务对学生进行保密教育，严禁采用不正当手段获取、披露或允许他人使用、占有乙方的商业秘密。如甲方人员及学生未能遵守本条所列要求，乙方保留追究当事人责任的权利。</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6．一旦学生开始在乙方参加实践教学，除不可抗力因素和教学特殊需要外，未经乙方同意，甲方不得提前将参加实践教学的学生撤走。</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7．甲方有义务对乙方给予的合作支付一定的费用，费用标准按甲方相关标准执行。具体事宜根据当次实践教学进行前签订的专项合同执行。</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8. 甲方在开展实践教学期间，为全体参与学生购买意外伤害保险。</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三、乙方权利与义务</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1．乙方为甲方提供实践教学基地，提供实践教学必备的指导教材或培训技术资料、提供必要的设备和耗材。</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2．乙方负责对甲方学生进行日常管理和技术管理，并选派责任心强、有丰富实践经验的人员担任指导教师，</w:t>
      </w:r>
      <w:r>
        <w:rPr>
          <w:rFonts w:hint="eastAsia" w:ascii="仿宋_GB2312" w:hAnsi="Courier New" w:eastAsia="仿宋_GB2312"/>
          <w:color w:val="000000"/>
          <w:sz w:val="28"/>
          <w:szCs w:val="28"/>
        </w:rPr>
        <w:t>指导学生实施具体</w:t>
      </w:r>
      <w:r>
        <w:rPr>
          <w:rFonts w:hint="eastAsia" w:ascii="仿宋_GB2312" w:hAnsi="宋体" w:eastAsia="仿宋_GB2312"/>
          <w:sz w:val="28"/>
          <w:szCs w:val="28"/>
        </w:rPr>
        <w:t>实践教学内容，并对学生出具考核意见和成绩评定。</w:t>
      </w:r>
      <w:r>
        <w:rPr>
          <w:rFonts w:ascii="仿宋_GB2312" w:hAnsi="宋体" w:eastAsia="仿宋_GB2312"/>
          <w:sz w:val="28"/>
          <w:szCs w:val="28"/>
        </w:rPr>
        <w:br w:type="textWrapping"/>
      </w:r>
      <w:r>
        <w:rPr>
          <w:rFonts w:hint="eastAsia" w:ascii="仿宋_GB2312" w:hAnsi="宋体" w:eastAsia="仿宋_GB2312"/>
          <w:sz w:val="28"/>
          <w:szCs w:val="28"/>
        </w:rPr>
        <w:t xml:space="preserve">    3．乙方指导教师负责指导学生完成实践教学报告的撰写工作，</w:t>
      </w:r>
      <w:r>
        <w:rPr>
          <w:rFonts w:hint="eastAsia" w:ascii="仿宋_GB2312" w:hAnsi="Courier New" w:eastAsia="仿宋_GB2312"/>
          <w:sz w:val="28"/>
          <w:szCs w:val="28"/>
        </w:rPr>
        <w:t>并监督学生改正其在文中的错误</w:t>
      </w:r>
      <w:r>
        <w:rPr>
          <w:rFonts w:hint="eastAsia" w:ascii="仿宋_GB2312" w:hAnsi="宋体" w:eastAsia="仿宋_GB2312"/>
          <w:sz w:val="28"/>
          <w:szCs w:val="28"/>
        </w:rPr>
        <w:t>或删除文中涉及乙方商业和技术机密的内容。甲方指导教师应予以协助。</w:t>
      </w:r>
    </w:p>
    <w:p>
      <w:pPr>
        <w:widowControl/>
        <w:snapToGrid w:val="0"/>
        <w:spacing w:line="360" w:lineRule="auto"/>
        <w:ind w:firstLine="560" w:firstLineChars="200"/>
        <w:rPr>
          <w:rFonts w:ascii="仿宋_GB2312" w:hAnsi="宋体" w:eastAsia="仿宋_GB2312"/>
          <w:sz w:val="28"/>
          <w:szCs w:val="28"/>
        </w:rPr>
      </w:pPr>
      <w:r>
        <w:rPr>
          <w:rFonts w:hint="eastAsia" w:ascii="仿宋_GB2312" w:hAnsi="Courier New" w:eastAsia="仿宋_GB2312"/>
          <w:color w:val="000000"/>
          <w:sz w:val="28"/>
          <w:szCs w:val="28"/>
        </w:rPr>
        <w:t>4</w:t>
      </w:r>
      <w:r>
        <w:rPr>
          <w:rFonts w:hint="eastAsia" w:ascii="仿宋_GB2312" w:hAnsi="宋体" w:eastAsia="仿宋_GB2312"/>
          <w:sz w:val="28"/>
          <w:szCs w:val="28"/>
        </w:rPr>
        <w:t>．乙方为学生提</w:t>
      </w:r>
      <w:r>
        <w:rPr>
          <w:rFonts w:hint="eastAsia" w:ascii="仿宋_GB2312" w:hAnsi="宋体" w:eastAsia="仿宋_GB2312"/>
          <w:color w:val="000000"/>
          <w:sz w:val="28"/>
          <w:szCs w:val="28"/>
        </w:rPr>
        <w:t>供必要的工作环境、学习</w:t>
      </w:r>
      <w:r>
        <w:rPr>
          <w:rFonts w:hint="eastAsia" w:ascii="仿宋_GB2312" w:hAnsi="宋体" w:eastAsia="仿宋_GB2312"/>
          <w:sz w:val="28"/>
          <w:szCs w:val="28"/>
        </w:rPr>
        <w:t>工具和劳保用品。</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5．实践教学期间，学生的交通及食宿费用自理。</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6．乙方在实践教学期间，不得有传播或实施违反国家相关政策法规的言行。对甲方学生有教育的义务，若学生有不正常的表现，应及时制止，如不能纠正须及时通知甲方共同解决。</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四、安全责任</w:t>
      </w:r>
    </w:p>
    <w:p>
      <w:pPr>
        <w:tabs>
          <w:tab w:val="left" w:pos="1320"/>
        </w:tabs>
        <w:snapToGrid w:val="0"/>
        <w:spacing w:line="360" w:lineRule="auto"/>
        <w:ind w:firstLine="630" w:firstLineChars="225"/>
        <w:rPr>
          <w:rFonts w:ascii="仿宋_GB2312" w:hAnsi="宋体" w:eastAsia="仿宋_GB2312"/>
          <w:sz w:val="28"/>
          <w:szCs w:val="28"/>
        </w:rPr>
      </w:pPr>
      <w:r>
        <w:rPr>
          <w:rFonts w:hint="eastAsia" w:ascii="仿宋_GB2312" w:hAnsi="宋体" w:eastAsia="仿宋_GB2312"/>
          <w:sz w:val="28"/>
          <w:szCs w:val="28"/>
        </w:rPr>
        <w:t>1．甲乙双方须高度重视参加实践教学学生的安全管理和教育工作。乙方制定并实施健全的安全管理制度，要求甲方参加实践教学学生自觉遵守。在参加实践教学学生遵守实践教学基地规章制度的情况下，乙方对甲方学生在实践教学基地区域内，参加乙方组织的实践教学活动发生的非学生自身健康原因造成的安全事故承担相应的责任。</w:t>
      </w:r>
    </w:p>
    <w:p>
      <w:pPr>
        <w:tabs>
          <w:tab w:val="left" w:pos="1320"/>
        </w:tabs>
        <w:snapToGrid w:val="0"/>
        <w:spacing w:line="360" w:lineRule="auto"/>
        <w:ind w:firstLine="630" w:firstLineChars="225"/>
        <w:rPr>
          <w:rFonts w:ascii="仿宋_GB2312" w:hAnsi="宋体" w:eastAsia="仿宋_GB2312"/>
          <w:sz w:val="28"/>
          <w:szCs w:val="28"/>
        </w:rPr>
      </w:pPr>
      <w:r>
        <w:rPr>
          <w:rFonts w:hint="eastAsia" w:ascii="仿宋_GB2312" w:hAnsi="宋体" w:eastAsia="仿宋_GB2312"/>
          <w:sz w:val="28"/>
          <w:szCs w:val="28"/>
        </w:rPr>
        <w:t>2．甲方学生在实践教学基地区域内参加实践教学活动，由于违反实践教学基地规章制度或自身过错造成的安全事故，由甲方学生自行负责。</w:t>
      </w:r>
    </w:p>
    <w:p>
      <w:pPr>
        <w:widowControl/>
        <w:snapToGrid w:val="0"/>
        <w:spacing w:line="360" w:lineRule="auto"/>
        <w:ind w:firstLine="630" w:firstLineChars="225"/>
        <w:rPr>
          <w:rFonts w:ascii="仿宋_GB2312" w:hAnsi="宋体" w:eastAsia="仿宋_GB2312"/>
          <w:b/>
          <w:sz w:val="28"/>
          <w:szCs w:val="28"/>
        </w:rPr>
      </w:pPr>
      <w:r>
        <w:rPr>
          <w:rFonts w:hint="eastAsia" w:ascii="仿宋_GB2312" w:hAnsi="宋体" w:eastAsia="仿宋_GB2312"/>
          <w:sz w:val="28"/>
          <w:szCs w:val="28"/>
        </w:rPr>
        <w:t>3．甲方学生在实践教学基地区域外发生安全事故的，由甲方学生自行承担责任。</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五、合作期限</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1．双方本着互惠互利、长期合作的原则，共同积极扩展合作的规模和领域。</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2．本协议有效期为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3．如任何一方要求对本协议的内容进行修订，须于协议到期前一个月内通知对方。双方对修订意见达成一致后，以修订协议为准，延续合作。</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六、违约责任</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1．甲乙双方均应严格遵守合同,如有违约行为发生，违约方应承担违约责任；违约方给对方造成损失的，应当予以</w:t>
      </w:r>
      <w:r>
        <w:rPr>
          <w:rFonts w:hint="eastAsia" w:ascii="仿宋_GB2312" w:hAnsi="宋体" w:eastAsia="仿宋_GB2312"/>
          <w:sz w:val="28"/>
          <w:szCs w:val="28"/>
          <w:lang w:val="en-GB"/>
        </w:rPr>
        <w:t>赔偿</w:t>
      </w:r>
      <w:r>
        <w:rPr>
          <w:rFonts w:hint="eastAsia" w:ascii="仿宋_GB2312" w:hAnsi="宋体" w:eastAsia="仿宋_GB2312"/>
          <w:sz w:val="28"/>
          <w:szCs w:val="28"/>
        </w:rPr>
        <w:t>。</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2．合同签订后一方如需要中途变更，应与对方达成一致意见。合同双方对同意变更的条款应该以书面形式予以确认。任何一方不得擅自变更，否则将承担违约责任。</w:t>
      </w:r>
    </w:p>
    <w:p>
      <w:pPr>
        <w:snapToGrid w:val="0"/>
        <w:spacing w:line="360" w:lineRule="auto"/>
        <w:ind w:left="480"/>
        <w:rPr>
          <w:rFonts w:ascii="仿宋_GB2312" w:hAnsi="宋体" w:eastAsia="仿宋_GB2312"/>
          <w:b/>
          <w:sz w:val="28"/>
          <w:szCs w:val="28"/>
        </w:rPr>
      </w:pPr>
      <w:r>
        <w:rPr>
          <w:rFonts w:hint="eastAsia" w:ascii="仿宋_GB2312" w:hAnsi="宋体" w:eastAsia="仿宋_GB2312"/>
          <w:b/>
          <w:sz w:val="28"/>
          <w:szCs w:val="28"/>
        </w:rPr>
        <w:t>七、其它</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1．甲方学生每次参加实践教学时，甲方授权二级学院与乙方签订实施协议，甲方二级学院签订和执行实施协议所产生的法律后果由甲方承担。</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2．本协议未尽事宜双方可以签订补充协议，补充协议与本协议具有同等法律效力。</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3．双方发生争议应协商解决，协商不成由乙方法院诉讼解决。</w:t>
      </w:r>
    </w:p>
    <w:p>
      <w:pPr>
        <w:widowControl/>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4．本协议自双方盖具公章之日起生效。</w:t>
      </w:r>
    </w:p>
    <w:p>
      <w:pPr>
        <w:widowControl/>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本协议一式四份，甲方执三份、乙方执一份。</w:t>
      </w:r>
    </w:p>
    <w:p>
      <w:pPr>
        <w:snapToGrid w:val="0"/>
        <w:spacing w:line="360" w:lineRule="auto"/>
        <w:ind w:left="6860" w:hanging="6860" w:hangingChars="2450"/>
        <w:rPr>
          <w:rFonts w:ascii="仿宋_GB2312" w:hAnsi="宋体" w:eastAsia="仿宋_GB2312"/>
          <w:sz w:val="28"/>
          <w:szCs w:val="28"/>
        </w:rPr>
      </w:pPr>
    </w:p>
    <w:p>
      <w:pPr>
        <w:snapToGrid w:val="0"/>
        <w:spacing w:line="360" w:lineRule="auto"/>
        <w:ind w:left="6860" w:hanging="6860" w:hangingChars="2450"/>
        <w:rPr>
          <w:rFonts w:ascii="仿宋_GB2312" w:hAnsi="宋体" w:eastAsia="仿宋_GB2312"/>
          <w:sz w:val="28"/>
          <w:szCs w:val="28"/>
        </w:rPr>
      </w:pPr>
    </w:p>
    <w:p>
      <w:pPr>
        <w:snapToGrid w:val="0"/>
        <w:spacing w:line="700" w:lineRule="exact"/>
        <w:ind w:left="6860" w:hanging="6860" w:hangingChars="2450"/>
        <w:rPr>
          <w:rFonts w:ascii="仿宋_GB2312" w:hAnsi="宋体" w:eastAsia="仿宋_GB2312"/>
          <w:bCs/>
          <w:sz w:val="28"/>
          <w:szCs w:val="28"/>
        </w:rPr>
      </w:pPr>
      <w:r>
        <w:rPr>
          <w:rFonts w:hint="eastAsia" w:ascii="仿宋_GB2312" w:hAnsi="宋体" w:eastAsia="仿宋_GB2312"/>
          <w:bCs/>
          <w:sz w:val="28"/>
          <w:szCs w:val="28"/>
        </w:rPr>
        <w:t>甲方（盖章）：内江师范学院       乙方（盖章）:</w:t>
      </w:r>
    </w:p>
    <w:p>
      <w:pPr>
        <w:snapToGrid w:val="0"/>
        <w:spacing w:line="700" w:lineRule="exact"/>
        <w:rPr>
          <w:rFonts w:ascii="仿宋_GB2312" w:hAnsi="宋体" w:eastAsia="仿宋_GB2312"/>
          <w:bCs/>
          <w:sz w:val="28"/>
          <w:szCs w:val="28"/>
        </w:rPr>
      </w:pPr>
      <w:r>
        <w:rPr>
          <w:rFonts w:hint="eastAsia" w:ascii="仿宋_GB2312" w:hAnsi="宋体" w:eastAsia="仿宋_GB2312"/>
          <w:bCs/>
          <w:sz w:val="28"/>
          <w:szCs w:val="28"/>
        </w:rPr>
        <w:t xml:space="preserve">甲方代表（签字）：               乙方代表（签字）：            </w:t>
      </w:r>
    </w:p>
    <w:p>
      <w:pPr>
        <w:ind w:right="25" w:rightChars="12"/>
        <w:rPr>
          <w:rFonts w:ascii="仿宋_GB2312" w:eastAsia="仿宋_GB2312"/>
          <w:sz w:val="33"/>
          <w:szCs w:val="33"/>
        </w:rPr>
      </w:pPr>
      <w:r>
        <w:rPr>
          <w:rFonts w:hint="eastAsia" w:ascii="仿宋_GB2312" w:hAnsi="宋体" w:eastAsia="仿宋_GB2312"/>
          <w:bCs/>
          <w:sz w:val="28"/>
          <w:szCs w:val="28"/>
        </w:rPr>
        <w:t>时间：      年    月    日       时间：      年    月    日</w:t>
      </w: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widowControl/>
        <w:spacing w:line="340" w:lineRule="exact"/>
        <w:jc w:val="left"/>
        <w:rPr>
          <w:rFonts w:ascii="宋体" w:hAnsi="宋体" w:cs="宋体"/>
          <w:kern w:val="0"/>
          <w:sz w:val="24"/>
          <w:szCs w:val="24"/>
        </w:rPr>
      </w:pPr>
      <w:bookmarkStart w:id="40" w:name="text1"/>
      <w:bookmarkEnd w:id="40"/>
    </w:p>
    <w:p>
      <w:pPr>
        <w:widowControl/>
        <w:spacing w:line="340" w:lineRule="exact"/>
        <w:jc w:val="left"/>
        <w:rPr>
          <w:rFonts w:ascii="宋体" w:hAnsi="宋体" w:cs="宋体"/>
          <w:kern w:val="0"/>
          <w:sz w:val="28"/>
          <w:szCs w:val="28"/>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sz w:val="32"/>
          <w:szCs w:val="32"/>
        </w:rPr>
      </w:pPr>
      <w:r>
        <w:rPr>
          <w:rFonts w:asciiTheme="majorEastAsia" w:hAnsiTheme="majorEastAsia" w:eastAsiaTheme="majorEastAsia"/>
          <w:b/>
          <w:sz w:val="32"/>
          <w:szCs w:val="32"/>
        </w:rPr>
        <w:t>内江师范学院实验室建设与管理暂行办法</w:t>
      </w:r>
    </w:p>
    <w:p>
      <w:pPr>
        <w:spacing w:line="560" w:lineRule="exact"/>
        <w:jc w:val="center"/>
        <w:rPr>
          <w:rFonts w:asciiTheme="majorEastAsia" w:hAnsiTheme="majorEastAsia" w:eastAsiaTheme="majorEastAsia"/>
          <w:b/>
          <w:sz w:val="28"/>
          <w:szCs w:val="28"/>
        </w:rPr>
      </w:pPr>
      <w:bookmarkStart w:id="41" w:name="_Toc325119517"/>
      <w:bookmarkEnd w:id="41"/>
      <w:bookmarkStart w:id="42" w:name="_Toc325119573"/>
      <w:bookmarkEnd w:id="42"/>
      <w:bookmarkStart w:id="43" w:name="_Toc325119302"/>
      <w:bookmarkEnd w:id="43"/>
      <w:r>
        <w:rPr>
          <w:rFonts w:asciiTheme="majorEastAsia" w:hAnsiTheme="majorEastAsia" w:eastAsiaTheme="majorEastAsia"/>
          <w:b/>
          <w:sz w:val="28"/>
          <w:szCs w:val="28"/>
        </w:rPr>
        <w:t>内师院发〔2011〕28号</w:t>
      </w:r>
    </w:p>
    <w:p>
      <w:pPr>
        <w:spacing w:line="560" w:lineRule="exact"/>
      </w:pPr>
    </w:p>
    <w:p>
      <w:pPr>
        <w:spacing w:line="360" w:lineRule="auto"/>
        <w:jc w:val="center"/>
        <w:rPr>
          <w:b/>
          <w:sz w:val="24"/>
          <w:szCs w:val="24"/>
        </w:rPr>
      </w:pPr>
      <w:r>
        <w:rPr>
          <w:b/>
        </w:rPr>
        <w:t>第</w:t>
      </w:r>
      <w:r>
        <w:rPr>
          <w:b/>
          <w:sz w:val="24"/>
          <w:szCs w:val="24"/>
        </w:rPr>
        <w:t>一章  总 则</w:t>
      </w:r>
    </w:p>
    <w:p>
      <w:pPr>
        <w:spacing w:line="360" w:lineRule="auto"/>
        <w:ind w:firstLine="480" w:firstLineChars="200"/>
        <w:rPr>
          <w:sz w:val="24"/>
          <w:szCs w:val="24"/>
        </w:rPr>
      </w:pPr>
      <w:r>
        <w:rPr>
          <w:sz w:val="24"/>
          <w:szCs w:val="24"/>
        </w:rPr>
        <w:t>第一条  为贯彻《高等学校实验室工作规程》(原国家教委第20号令)，加强学校实验室的建设和管理，保障学校教育质量和科学研究水平，结合我校实际，制定本办法。</w:t>
      </w:r>
    </w:p>
    <w:p>
      <w:pPr>
        <w:spacing w:line="360" w:lineRule="auto"/>
        <w:ind w:firstLine="480" w:firstLineChars="200"/>
        <w:rPr>
          <w:sz w:val="24"/>
          <w:szCs w:val="24"/>
        </w:rPr>
      </w:pPr>
      <w:r>
        <w:rPr>
          <w:sz w:val="24"/>
          <w:szCs w:val="24"/>
        </w:rPr>
        <w:t>第二条  实验室是实验教学、科学研究、人才培养和服务社会的重要基地，是办好学校的基本条件之一。实验室建设与管理水平是反映学校工作水平、办学效益的重要标志。</w:t>
      </w:r>
    </w:p>
    <w:p>
      <w:pPr>
        <w:spacing w:line="360" w:lineRule="auto"/>
        <w:ind w:firstLine="480" w:firstLineChars="200"/>
        <w:rPr>
          <w:sz w:val="24"/>
          <w:szCs w:val="24"/>
        </w:rPr>
      </w:pPr>
      <w:r>
        <w:rPr>
          <w:sz w:val="24"/>
          <w:szCs w:val="24"/>
        </w:rPr>
        <w:t xml:space="preserve">第三条  实验室必须努力贯彻国家的教育方针，保证完成所承担的教学、科研、技术开发和社会服务任务。 </w:t>
      </w:r>
    </w:p>
    <w:p>
      <w:pPr>
        <w:spacing w:line="360" w:lineRule="auto"/>
        <w:ind w:firstLine="480" w:firstLineChars="200"/>
        <w:rPr>
          <w:sz w:val="24"/>
          <w:szCs w:val="24"/>
        </w:rPr>
      </w:pPr>
      <w:r>
        <w:rPr>
          <w:sz w:val="24"/>
          <w:szCs w:val="24"/>
        </w:rPr>
        <w:t>第四条  实验室的建设，要从学校学科发展、教学改革和科学研究的实际需要出发，统筹规划、合理设置、统一管理，做到基础设施、仪器设备、技术队伍和科学管理的协调发展，提高投资效益。</w:t>
      </w:r>
    </w:p>
    <w:p>
      <w:pPr>
        <w:spacing w:line="360" w:lineRule="auto"/>
        <w:ind w:firstLine="480" w:firstLineChars="200"/>
        <w:rPr>
          <w:sz w:val="24"/>
          <w:szCs w:val="24"/>
        </w:rPr>
      </w:pPr>
      <w:r>
        <w:rPr>
          <w:sz w:val="24"/>
          <w:szCs w:val="24"/>
        </w:rPr>
        <w:t>第五条  重视实验室队伍的建设和培养，努力建立一支状态稳定、结构合理、专业技术水平高、热心服务教学科研工作的实验技术人员队伍。</w:t>
      </w:r>
    </w:p>
    <w:p>
      <w:pPr>
        <w:spacing w:line="360" w:lineRule="auto"/>
        <w:jc w:val="center"/>
        <w:rPr>
          <w:b/>
          <w:sz w:val="24"/>
          <w:szCs w:val="24"/>
        </w:rPr>
      </w:pPr>
      <w:r>
        <w:rPr>
          <w:b/>
          <w:sz w:val="24"/>
          <w:szCs w:val="24"/>
        </w:rPr>
        <w:t>第二章  实验室基本任务</w:t>
      </w:r>
    </w:p>
    <w:p>
      <w:pPr>
        <w:spacing w:line="360" w:lineRule="auto"/>
        <w:ind w:firstLine="480" w:firstLineChars="200"/>
        <w:rPr>
          <w:sz w:val="24"/>
          <w:szCs w:val="24"/>
        </w:rPr>
      </w:pPr>
      <w:r>
        <w:rPr>
          <w:sz w:val="24"/>
          <w:szCs w:val="24"/>
        </w:rPr>
        <w:t>第六条  根据学校教学计划，承担并完成实验教学任务。</w:t>
      </w:r>
    </w:p>
    <w:p>
      <w:pPr>
        <w:spacing w:line="360" w:lineRule="auto"/>
        <w:ind w:firstLine="480" w:firstLineChars="200"/>
        <w:rPr>
          <w:sz w:val="24"/>
          <w:szCs w:val="24"/>
        </w:rPr>
      </w:pPr>
      <w:r>
        <w:rPr>
          <w:sz w:val="24"/>
          <w:szCs w:val="24"/>
        </w:rPr>
        <w:t>第七条  努力提高实验教学质量。不断完善实验教材等教学资料，不断吸收科学研究和教学改革的新成果，更新实验内容，改革教学方法，逐步增加设计型、综合型、研究型、创新型实验项目或课程，培养学生理论联系实际的学风、严谨的科学态度和发现问题、分析问题、解决问题的能力，培养具有创新意识、创新能力的人才。</w:t>
      </w:r>
    </w:p>
    <w:p>
      <w:pPr>
        <w:spacing w:line="360" w:lineRule="auto"/>
        <w:ind w:firstLine="480" w:firstLineChars="200"/>
        <w:rPr>
          <w:sz w:val="24"/>
          <w:szCs w:val="24"/>
        </w:rPr>
      </w:pPr>
      <w:r>
        <w:rPr>
          <w:sz w:val="24"/>
          <w:szCs w:val="24"/>
        </w:rPr>
        <w:t>第八条  根据承担的科研任务，积极开展科学实验工作，高效率、高水平地完成科学研究任务。</w:t>
      </w:r>
    </w:p>
    <w:p>
      <w:pPr>
        <w:spacing w:line="360" w:lineRule="auto"/>
        <w:ind w:firstLine="480" w:firstLineChars="200"/>
        <w:rPr>
          <w:sz w:val="24"/>
          <w:szCs w:val="24"/>
        </w:rPr>
      </w:pPr>
      <w:r>
        <w:rPr>
          <w:sz w:val="24"/>
          <w:szCs w:val="24"/>
        </w:rPr>
        <w:t>第九条  在保证完成教学和科研任务的前提下，充分发挥学术、技术资源优势，向校内外开放，提高资源效益，服务地方经济社会发展。</w:t>
      </w:r>
    </w:p>
    <w:p>
      <w:pPr>
        <w:spacing w:line="360" w:lineRule="auto"/>
        <w:rPr>
          <w:sz w:val="24"/>
          <w:szCs w:val="24"/>
        </w:rPr>
      </w:pPr>
      <w:r>
        <w:rPr>
          <w:sz w:val="24"/>
          <w:szCs w:val="24"/>
        </w:rPr>
        <w:t>第十条  做好仪器设备的配备、管理、维修、维护、改造、计量及标定工作，维持仪器设备完好的工作状态，保证实验数据的准确可靠。</w:t>
      </w:r>
    </w:p>
    <w:p>
      <w:pPr>
        <w:spacing w:line="360" w:lineRule="auto"/>
        <w:ind w:firstLine="480" w:firstLineChars="200"/>
        <w:rPr>
          <w:sz w:val="24"/>
          <w:szCs w:val="24"/>
        </w:rPr>
      </w:pPr>
      <w:r>
        <w:rPr>
          <w:sz w:val="24"/>
          <w:szCs w:val="24"/>
        </w:rPr>
        <w:t>第十一条  建立健全实验室工作各项规章制度并严格执行，加强实验室技术人员的培训和管理。</w:t>
      </w:r>
    </w:p>
    <w:p>
      <w:pPr>
        <w:spacing w:line="360" w:lineRule="auto"/>
        <w:jc w:val="center"/>
        <w:rPr>
          <w:b/>
          <w:sz w:val="24"/>
          <w:szCs w:val="24"/>
        </w:rPr>
      </w:pPr>
      <w:r>
        <w:rPr>
          <w:b/>
          <w:sz w:val="24"/>
          <w:szCs w:val="24"/>
        </w:rPr>
        <w:t>第三章  实验室管理体制</w:t>
      </w:r>
    </w:p>
    <w:p>
      <w:pPr>
        <w:spacing w:line="360" w:lineRule="auto"/>
        <w:ind w:firstLine="480" w:firstLineChars="200"/>
        <w:rPr>
          <w:sz w:val="24"/>
          <w:szCs w:val="24"/>
        </w:rPr>
      </w:pPr>
      <w:r>
        <w:rPr>
          <w:sz w:val="24"/>
          <w:szCs w:val="24"/>
        </w:rPr>
        <w:t>第十二条  实验室分为教学实验室、科研实验室和综合实验室。教学实验室指以基础课实验教学和专业课实验教学为主要任务的实验室；科研实验室指上级主管部门或学校正式承认的以科学研究为主要任务的实验室；综合实验室指多方兼顾，以服务为主的公共机房、语音实验室、微格教室等。</w:t>
      </w:r>
    </w:p>
    <w:p>
      <w:pPr>
        <w:spacing w:line="360" w:lineRule="auto"/>
        <w:ind w:firstLine="480" w:firstLineChars="200"/>
        <w:rPr>
          <w:sz w:val="24"/>
          <w:szCs w:val="24"/>
        </w:rPr>
      </w:pPr>
      <w:r>
        <w:rPr>
          <w:sz w:val="24"/>
          <w:szCs w:val="24"/>
        </w:rPr>
        <w:t>第十三条  实验室实行统一领导、分类归口管理的体制。学校设立实验室工作委员会，由分管实验设备的副校长任主任，分管教学、后勤、基建的副校长任副主任，相关教学单位、行政单位、教辅单位负责人和若干技术专家任成员。</w:t>
      </w:r>
    </w:p>
    <w:p>
      <w:pPr>
        <w:spacing w:line="360" w:lineRule="auto"/>
        <w:ind w:firstLine="480" w:firstLineChars="200"/>
        <w:rPr>
          <w:sz w:val="24"/>
          <w:szCs w:val="24"/>
        </w:rPr>
      </w:pPr>
      <w:r>
        <w:rPr>
          <w:sz w:val="24"/>
          <w:szCs w:val="24"/>
        </w:rPr>
        <w:t>第十四条  实验室工作委员会的主要职责是：</w:t>
      </w:r>
    </w:p>
    <w:p>
      <w:pPr>
        <w:spacing w:line="360" w:lineRule="auto"/>
        <w:ind w:firstLine="480" w:firstLineChars="200"/>
        <w:rPr>
          <w:sz w:val="24"/>
          <w:szCs w:val="24"/>
        </w:rPr>
      </w:pPr>
      <w:r>
        <w:rPr>
          <w:sz w:val="24"/>
          <w:szCs w:val="24"/>
        </w:rPr>
        <w:t>（一）审定学校实验室建设规划和年度实施计划，经学校批准后组织实施；</w:t>
      </w:r>
    </w:p>
    <w:p>
      <w:pPr>
        <w:spacing w:line="360" w:lineRule="auto"/>
        <w:ind w:firstLine="480" w:firstLineChars="200"/>
        <w:rPr>
          <w:sz w:val="24"/>
          <w:szCs w:val="24"/>
        </w:rPr>
      </w:pPr>
      <w:r>
        <w:rPr>
          <w:sz w:val="24"/>
          <w:szCs w:val="24"/>
        </w:rPr>
        <w:t>（二）审定学校实验室工作的重要规章制度，指导全校实验室建设与管理工作；</w:t>
      </w:r>
    </w:p>
    <w:p>
      <w:pPr>
        <w:spacing w:line="360" w:lineRule="auto"/>
        <w:ind w:firstLine="480" w:firstLineChars="200"/>
        <w:rPr>
          <w:sz w:val="24"/>
          <w:szCs w:val="24"/>
        </w:rPr>
      </w:pPr>
      <w:r>
        <w:rPr>
          <w:sz w:val="24"/>
          <w:szCs w:val="24"/>
        </w:rPr>
        <w:t>（三）听取学校实验室建设与管理工作的考核和评估的汇报；</w:t>
      </w:r>
    </w:p>
    <w:p>
      <w:pPr>
        <w:spacing w:line="360" w:lineRule="auto"/>
        <w:ind w:firstLine="480" w:firstLineChars="200"/>
        <w:rPr>
          <w:sz w:val="24"/>
          <w:szCs w:val="24"/>
        </w:rPr>
      </w:pPr>
      <w:r>
        <w:rPr>
          <w:sz w:val="24"/>
          <w:szCs w:val="24"/>
        </w:rPr>
        <w:t>（四）研究实验室建设发展中出现的重大问题，提出相应决策方案报校长办公会审定；</w:t>
      </w:r>
    </w:p>
    <w:p>
      <w:pPr>
        <w:spacing w:line="360" w:lineRule="auto"/>
        <w:ind w:firstLine="480" w:firstLineChars="200"/>
        <w:rPr>
          <w:sz w:val="24"/>
          <w:szCs w:val="24"/>
        </w:rPr>
      </w:pPr>
      <w:r>
        <w:rPr>
          <w:sz w:val="24"/>
          <w:szCs w:val="24"/>
        </w:rPr>
        <w:t>（五）审定实验室技术人才队伍建设规划。</w:t>
      </w:r>
    </w:p>
    <w:p>
      <w:pPr>
        <w:spacing w:line="360" w:lineRule="auto"/>
        <w:ind w:firstLine="480" w:firstLineChars="200"/>
        <w:rPr>
          <w:sz w:val="24"/>
          <w:szCs w:val="24"/>
        </w:rPr>
      </w:pPr>
      <w:r>
        <w:rPr>
          <w:sz w:val="24"/>
          <w:szCs w:val="24"/>
        </w:rPr>
        <w:t>第十五条　实验室工作委员会下设办公室，挂靠国有资产与实验设备管理处，在实验室工作委员会的领导下负责管理、协调全校实验室的具体工作。其主要职责是：</w:t>
      </w:r>
    </w:p>
    <w:p>
      <w:pPr>
        <w:spacing w:line="360" w:lineRule="auto"/>
        <w:ind w:firstLine="480" w:firstLineChars="200"/>
        <w:rPr>
          <w:sz w:val="24"/>
          <w:szCs w:val="24"/>
        </w:rPr>
      </w:pPr>
      <w:r>
        <w:rPr>
          <w:sz w:val="24"/>
          <w:szCs w:val="24"/>
        </w:rPr>
        <w:t>（一）贯彻执行国家相关方针政策和相关的法律、法规，负责制订并落实学校实验室建设与管理的相关规章制度；</w:t>
      </w:r>
    </w:p>
    <w:p>
      <w:pPr>
        <w:spacing w:line="360" w:lineRule="auto"/>
        <w:ind w:firstLine="480" w:firstLineChars="200"/>
        <w:rPr>
          <w:sz w:val="24"/>
          <w:szCs w:val="24"/>
        </w:rPr>
      </w:pPr>
      <w:r>
        <w:rPr>
          <w:sz w:val="24"/>
          <w:szCs w:val="24"/>
        </w:rPr>
        <w:t>（二）根据学校财务预算安排，负责制订学校物资设备年度采购计划，负责学校装备经费的管理使用，负责组织大精贵设备的购置论证，负责政府采购的执行，负责购置合同的管理、到货验收和索赔，负责仪器设备使用效益评估等工作；</w:t>
      </w:r>
    </w:p>
    <w:p>
      <w:pPr>
        <w:spacing w:line="360" w:lineRule="auto"/>
        <w:ind w:firstLine="480" w:firstLineChars="200"/>
        <w:rPr>
          <w:sz w:val="24"/>
          <w:szCs w:val="24"/>
        </w:rPr>
      </w:pPr>
      <w:r>
        <w:rPr>
          <w:sz w:val="24"/>
          <w:szCs w:val="24"/>
        </w:rPr>
        <w:t>（三）负责实验维持维修经费的使用管理，组织实验材料与低值品、易耗品等物资的购置，负责安全管制类化学品、危险品和稀贵物品的购置申报；</w:t>
      </w:r>
    </w:p>
    <w:p>
      <w:pPr>
        <w:spacing w:line="360" w:lineRule="auto"/>
        <w:ind w:firstLine="480" w:firstLineChars="200"/>
        <w:rPr>
          <w:sz w:val="24"/>
          <w:szCs w:val="24"/>
        </w:rPr>
      </w:pPr>
      <w:r>
        <w:rPr>
          <w:sz w:val="24"/>
          <w:szCs w:val="24"/>
        </w:rPr>
        <w:t>（四）负责学校实验室基本信息的统计分析和数据上报工作；</w:t>
      </w:r>
    </w:p>
    <w:p>
      <w:pPr>
        <w:spacing w:line="360" w:lineRule="auto"/>
        <w:ind w:firstLine="480" w:firstLineChars="200"/>
        <w:rPr>
          <w:sz w:val="24"/>
          <w:szCs w:val="24"/>
        </w:rPr>
      </w:pPr>
      <w:r>
        <w:rPr>
          <w:sz w:val="24"/>
          <w:szCs w:val="24"/>
        </w:rPr>
        <w:t>（五）与相关单位协同负责实验室安全监督、环境保护工作。</w:t>
      </w:r>
    </w:p>
    <w:p>
      <w:pPr>
        <w:spacing w:line="360" w:lineRule="auto"/>
        <w:ind w:firstLine="480" w:firstLineChars="200"/>
        <w:rPr>
          <w:sz w:val="24"/>
          <w:szCs w:val="24"/>
        </w:rPr>
      </w:pPr>
      <w:r>
        <w:rPr>
          <w:sz w:val="24"/>
          <w:szCs w:val="24"/>
        </w:rPr>
        <w:t>第十六条 教务处负责实验（实训、实习，本条目内下同）教学的组织、运行和管理工作。其主要职责是：</w:t>
      </w:r>
    </w:p>
    <w:p>
      <w:pPr>
        <w:spacing w:line="360" w:lineRule="auto"/>
        <w:ind w:firstLine="480" w:firstLineChars="200"/>
        <w:rPr>
          <w:sz w:val="24"/>
          <w:szCs w:val="24"/>
        </w:rPr>
      </w:pPr>
      <w:r>
        <w:rPr>
          <w:sz w:val="24"/>
          <w:szCs w:val="24"/>
        </w:rPr>
        <w:t>（一）负责组织制订教学实验室建设与发展规划；</w:t>
      </w:r>
    </w:p>
    <w:p>
      <w:pPr>
        <w:spacing w:line="360" w:lineRule="auto"/>
        <w:ind w:firstLine="480" w:firstLineChars="200"/>
        <w:rPr>
          <w:sz w:val="24"/>
          <w:szCs w:val="24"/>
        </w:rPr>
      </w:pPr>
      <w:r>
        <w:rPr>
          <w:sz w:val="24"/>
          <w:szCs w:val="24"/>
        </w:rPr>
        <w:t>（二）负责建立、健全和落实教学实验室各项管理制度；</w:t>
      </w:r>
    </w:p>
    <w:p>
      <w:pPr>
        <w:spacing w:line="360" w:lineRule="auto"/>
        <w:ind w:firstLine="480" w:firstLineChars="200"/>
        <w:rPr>
          <w:sz w:val="24"/>
          <w:szCs w:val="24"/>
        </w:rPr>
      </w:pPr>
      <w:r>
        <w:rPr>
          <w:sz w:val="24"/>
          <w:szCs w:val="24"/>
        </w:rPr>
        <w:t>（三）负责教学实验室的新建、整合和撤消方案的制订，经实验室工作委员会审定，报学校审批同意后负责组织实施；</w:t>
      </w:r>
    </w:p>
    <w:p>
      <w:pPr>
        <w:spacing w:line="360" w:lineRule="auto"/>
        <w:ind w:firstLine="480" w:firstLineChars="200"/>
        <w:rPr>
          <w:sz w:val="24"/>
          <w:szCs w:val="24"/>
        </w:rPr>
      </w:pPr>
      <w:r>
        <w:rPr>
          <w:sz w:val="24"/>
          <w:szCs w:val="24"/>
        </w:rPr>
        <w:t>（四）负责实验教学运行管理，组织编制实验教学计划、大纲、教材等教学文件，实施实验教学改革研究立项及管理，负责实验教学档案资料收集管理工作；</w:t>
      </w:r>
    </w:p>
    <w:p>
      <w:pPr>
        <w:spacing w:line="360" w:lineRule="auto"/>
        <w:ind w:firstLine="480" w:firstLineChars="200"/>
        <w:rPr>
          <w:sz w:val="24"/>
          <w:szCs w:val="24"/>
        </w:rPr>
      </w:pPr>
      <w:r>
        <w:rPr>
          <w:sz w:val="24"/>
          <w:szCs w:val="24"/>
        </w:rPr>
        <w:t>（五）根据学校财务预算安排的额度，负责教学实验仪器设备年度购置计划的制订和零星购置的审批，报国有资产与实验设备管理处组织实施；</w:t>
      </w:r>
    </w:p>
    <w:p>
      <w:pPr>
        <w:spacing w:line="360" w:lineRule="auto"/>
        <w:ind w:firstLine="480" w:firstLineChars="200"/>
        <w:rPr>
          <w:sz w:val="24"/>
          <w:szCs w:val="24"/>
        </w:rPr>
      </w:pPr>
      <w:r>
        <w:rPr>
          <w:sz w:val="24"/>
          <w:szCs w:val="24"/>
        </w:rPr>
        <w:t>（六）负责教学实验室基本信息的统计分析和数据上报工作。</w:t>
      </w:r>
    </w:p>
    <w:p>
      <w:pPr>
        <w:spacing w:line="360" w:lineRule="auto"/>
        <w:ind w:firstLine="480" w:firstLineChars="200"/>
        <w:rPr>
          <w:sz w:val="24"/>
          <w:szCs w:val="24"/>
        </w:rPr>
      </w:pPr>
      <w:r>
        <w:rPr>
          <w:sz w:val="24"/>
          <w:szCs w:val="24"/>
        </w:rPr>
        <w:t>（七）负责实验技术人员的短期业务进修培训工作。</w:t>
      </w:r>
    </w:p>
    <w:p>
      <w:pPr>
        <w:spacing w:line="360" w:lineRule="auto"/>
        <w:ind w:firstLine="480" w:firstLineChars="200"/>
        <w:rPr>
          <w:sz w:val="24"/>
          <w:szCs w:val="24"/>
        </w:rPr>
      </w:pPr>
      <w:r>
        <w:rPr>
          <w:sz w:val="24"/>
          <w:szCs w:val="24"/>
        </w:rPr>
        <w:t>第十七条 科技处负责科研实验室的建设申报、运行和管理工作。其主要职责是：</w:t>
      </w:r>
    </w:p>
    <w:p>
      <w:pPr>
        <w:spacing w:line="360" w:lineRule="auto"/>
        <w:ind w:firstLine="480" w:firstLineChars="200"/>
        <w:rPr>
          <w:sz w:val="24"/>
          <w:szCs w:val="24"/>
        </w:rPr>
      </w:pPr>
      <w:r>
        <w:rPr>
          <w:sz w:val="24"/>
          <w:szCs w:val="24"/>
        </w:rPr>
        <w:t>（一）负责组织制订科研实验室建设与发展规划；</w:t>
      </w:r>
    </w:p>
    <w:p>
      <w:pPr>
        <w:spacing w:line="360" w:lineRule="auto"/>
        <w:ind w:firstLine="480" w:firstLineChars="200"/>
        <w:rPr>
          <w:sz w:val="24"/>
          <w:szCs w:val="24"/>
        </w:rPr>
      </w:pPr>
      <w:r>
        <w:rPr>
          <w:sz w:val="24"/>
          <w:szCs w:val="24"/>
        </w:rPr>
        <w:t>（二）负责建立、健全和落实科研实验室各项管理制度；</w:t>
      </w:r>
    </w:p>
    <w:p>
      <w:pPr>
        <w:spacing w:line="360" w:lineRule="auto"/>
        <w:ind w:firstLine="480" w:firstLineChars="200"/>
        <w:rPr>
          <w:sz w:val="24"/>
          <w:szCs w:val="24"/>
        </w:rPr>
      </w:pPr>
      <w:r>
        <w:rPr>
          <w:sz w:val="24"/>
          <w:szCs w:val="24"/>
        </w:rPr>
        <w:t>（三）负责科研实验室的新建、整合和撤消方案的制订，经实验室工作委员会审定，报各实验室上级主管部门审批同意后负责组织实施；</w:t>
      </w:r>
    </w:p>
    <w:p>
      <w:pPr>
        <w:spacing w:line="360" w:lineRule="auto"/>
        <w:ind w:firstLine="480" w:firstLineChars="200"/>
        <w:rPr>
          <w:sz w:val="24"/>
          <w:szCs w:val="24"/>
        </w:rPr>
      </w:pPr>
      <w:r>
        <w:rPr>
          <w:sz w:val="24"/>
          <w:szCs w:val="24"/>
        </w:rPr>
        <w:t>（四）负责科研实验室的运行管理，负责科研实验档案资料收集管理和科研实验室年度考核工作；</w:t>
      </w:r>
    </w:p>
    <w:p>
      <w:pPr>
        <w:spacing w:line="360" w:lineRule="auto"/>
        <w:ind w:firstLine="480" w:firstLineChars="200"/>
        <w:rPr>
          <w:sz w:val="24"/>
          <w:szCs w:val="24"/>
        </w:rPr>
      </w:pPr>
      <w:r>
        <w:rPr>
          <w:sz w:val="24"/>
          <w:szCs w:val="24"/>
        </w:rPr>
        <w:t>（五）根据学校财务预算安排的额度，负责科研实验仪器设备年度购置计划的制订和零星购置的审批，报国有资产与实验设备管理处组织实施；</w:t>
      </w:r>
    </w:p>
    <w:p>
      <w:pPr>
        <w:spacing w:line="360" w:lineRule="auto"/>
        <w:ind w:firstLine="480" w:firstLineChars="200"/>
        <w:rPr>
          <w:sz w:val="24"/>
          <w:szCs w:val="24"/>
        </w:rPr>
      </w:pPr>
      <w:r>
        <w:rPr>
          <w:sz w:val="24"/>
          <w:szCs w:val="24"/>
        </w:rPr>
        <w:t>（六）负责科研实验室基本信息的统计分析和数据上报工作。</w:t>
      </w:r>
    </w:p>
    <w:p>
      <w:pPr>
        <w:spacing w:line="360" w:lineRule="auto"/>
        <w:ind w:firstLine="480" w:firstLineChars="200"/>
        <w:rPr>
          <w:sz w:val="24"/>
          <w:szCs w:val="24"/>
        </w:rPr>
      </w:pPr>
      <w:r>
        <w:rPr>
          <w:sz w:val="24"/>
          <w:szCs w:val="24"/>
        </w:rPr>
        <w:t>第十八条  现代教育技术中心负责公共机房、语音实验室、微型格式化教室等综合实验室的运行管理。</w:t>
      </w:r>
    </w:p>
    <w:p>
      <w:pPr>
        <w:spacing w:line="360" w:lineRule="auto"/>
        <w:ind w:firstLine="480" w:firstLineChars="200"/>
        <w:rPr>
          <w:sz w:val="24"/>
          <w:szCs w:val="24"/>
        </w:rPr>
      </w:pPr>
      <w:r>
        <w:rPr>
          <w:sz w:val="24"/>
          <w:szCs w:val="24"/>
        </w:rPr>
        <w:t>第十九条 人事处负责实验室实验技术人员的岗位编制核定、人员引进、职称评审和考核等工作。</w:t>
      </w:r>
    </w:p>
    <w:p>
      <w:pPr>
        <w:spacing w:line="360" w:lineRule="auto"/>
        <w:ind w:firstLine="480" w:firstLineChars="200"/>
        <w:rPr>
          <w:sz w:val="24"/>
          <w:szCs w:val="24"/>
        </w:rPr>
      </w:pPr>
      <w:r>
        <w:rPr>
          <w:sz w:val="24"/>
          <w:szCs w:val="24"/>
        </w:rPr>
        <w:t>第二十条 二级学院是教学实验室建设与管理的主体。各相关二级学院须有分管实验室工作的院领导，并设立实验室主任，由实验室主任负责实验室全面工作。</w:t>
      </w:r>
    </w:p>
    <w:p>
      <w:pPr>
        <w:spacing w:line="360" w:lineRule="auto"/>
        <w:ind w:firstLine="480" w:firstLineChars="200"/>
        <w:rPr>
          <w:sz w:val="24"/>
          <w:szCs w:val="24"/>
        </w:rPr>
      </w:pPr>
      <w:r>
        <w:rPr>
          <w:sz w:val="24"/>
          <w:szCs w:val="24"/>
        </w:rPr>
        <w:t>二级学院的主要职责是：</w:t>
      </w:r>
    </w:p>
    <w:p>
      <w:pPr>
        <w:spacing w:line="360" w:lineRule="auto"/>
        <w:ind w:firstLine="480" w:firstLineChars="200"/>
        <w:rPr>
          <w:sz w:val="24"/>
          <w:szCs w:val="24"/>
        </w:rPr>
      </w:pPr>
      <w:r>
        <w:rPr>
          <w:sz w:val="24"/>
          <w:szCs w:val="24"/>
        </w:rPr>
        <w:t>（一）根据专业和学科建设发展的需要，制定各教学实验室建设规划；</w:t>
      </w:r>
    </w:p>
    <w:p>
      <w:pPr>
        <w:spacing w:line="360" w:lineRule="auto"/>
        <w:ind w:firstLine="480" w:firstLineChars="200"/>
        <w:rPr>
          <w:sz w:val="24"/>
          <w:szCs w:val="24"/>
        </w:rPr>
      </w:pPr>
      <w:r>
        <w:rPr>
          <w:sz w:val="24"/>
          <w:szCs w:val="24"/>
        </w:rPr>
        <w:t>（二）根据学校实验室建设与管理的有关规章制度，制订各项实施细则并监督落实；</w:t>
      </w:r>
    </w:p>
    <w:p>
      <w:pPr>
        <w:spacing w:line="360" w:lineRule="auto"/>
        <w:ind w:firstLine="480" w:firstLineChars="200"/>
        <w:rPr>
          <w:sz w:val="24"/>
          <w:szCs w:val="24"/>
        </w:rPr>
      </w:pPr>
      <w:r>
        <w:rPr>
          <w:sz w:val="24"/>
          <w:szCs w:val="24"/>
        </w:rPr>
        <w:t>（三）根据教学计划和学校的安排，高质高效地完成实验室各项教学、科研工作任务；</w:t>
      </w:r>
    </w:p>
    <w:p>
      <w:pPr>
        <w:spacing w:line="360" w:lineRule="auto"/>
        <w:ind w:firstLine="480" w:firstLineChars="200"/>
        <w:rPr>
          <w:sz w:val="24"/>
          <w:szCs w:val="24"/>
        </w:rPr>
      </w:pPr>
      <w:r>
        <w:rPr>
          <w:sz w:val="24"/>
          <w:szCs w:val="24"/>
        </w:rPr>
        <w:t>（四）编制实验教学大纲、实验操作规程，编写实验指导书、实验教材、实验讲义等实验教学资料，收集、管理实验室档案资料；</w:t>
      </w:r>
    </w:p>
    <w:p>
      <w:pPr>
        <w:spacing w:line="360" w:lineRule="auto"/>
        <w:ind w:firstLine="480" w:firstLineChars="200"/>
        <w:rPr>
          <w:sz w:val="24"/>
          <w:szCs w:val="24"/>
        </w:rPr>
      </w:pPr>
      <w:r>
        <w:rPr>
          <w:sz w:val="24"/>
          <w:szCs w:val="24"/>
        </w:rPr>
        <w:t>（五）负责实验室固定资产的账、物、卡管理，负责实验室低值品、消耗品等流动资产的库存、领取、使用管理；</w:t>
      </w:r>
    </w:p>
    <w:p>
      <w:pPr>
        <w:spacing w:line="360" w:lineRule="auto"/>
        <w:ind w:firstLine="480" w:firstLineChars="200"/>
        <w:rPr>
          <w:sz w:val="24"/>
          <w:szCs w:val="24"/>
        </w:rPr>
      </w:pPr>
      <w:r>
        <w:rPr>
          <w:sz w:val="24"/>
          <w:szCs w:val="24"/>
        </w:rPr>
        <w:t>（六）做好实验室的防火、防爆、防毒、防盗、防污染等安全工作，分管院领导是第一责任人，实验室主任和实验室管理员是直接责任人；</w:t>
      </w:r>
    </w:p>
    <w:p>
      <w:pPr>
        <w:spacing w:line="360" w:lineRule="auto"/>
        <w:ind w:firstLine="480" w:firstLineChars="200"/>
        <w:rPr>
          <w:sz w:val="24"/>
          <w:szCs w:val="24"/>
        </w:rPr>
      </w:pPr>
      <w:r>
        <w:rPr>
          <w:sz w:val="24"/>
          <w:szCs w:val="24"/>
        </w:rPr>
        <w:t>（七）负责实验技术人员队伍的建设和管理工作；</w:t>
      </w:r>
    </w:p>
    <w:p>
      <w:pPr>
        <w:spacing w:line="360" w:lineRule="auto"/>
        <w:ind w:firstLine="480" w:firstLineChars="200"/>
        <w:rPr>
          <w:sz w:val="24"/>
          <w:szCs w:val="24"/>
        </w:rPr>
      </w:pPr>
      <w:r>
        <w:rPr>
          <w:sz w:val="24"/>
          <w:szCs w:val="24"/>
        </w:rPr>
        <w:t>（八）组织实验室及时统计、上报各项统计报表、信息资料。</w:t>
      </w:r>
    </w:p>
    <w:p>
      <w:pPr>
        <w:spacing w:line="360" w:lineRule="auto"/>
        <w:jc w:val="center"/>
        <w:rPr>
          <w:b/>
          <w:sz w:val="24"/>
          <w:szCs w:val="24"/>
        </w:rPr>
      </w:pPr>
      <w:r>
        <w:rPr>
          <w:b/>
          <w:sz w:val="24"/>
          <w:szCs w:val="24"/>
        </w:rPr>
        <w:t>第四章 实验室建立、调整、撤消的申报和审批</w:t>
      </w:r>
    </w:p>
    <w:p>
      <w:pPr>
        <w:spacing w:line="360" w:lineRule="auto"/>
        <w:ind w:firstLine="480" w:firstLineChars="200"/>
        <w:rPr>
          <w:sz w:val="24"/>
          <w:szCs w:val="24"/>
        </w:rPr>
      </w:pPr>
      <w:r>
        <w:rPr>
          <w:sz w:val="24"/>
          <w:szCs w:val="24"/>
        </w:rPr>
        <w:t>第二十一条  实验室的建立应根据学校学科建设的总体规划，按照学校教学、科研和服务的任务以及实际需要确定，统筹规划，合理布局，避免小而全、分散重复设置。</w:t>
      </w:r>
    </w:p>
    <w:p>
      <w:pPr>
        <w:spacing w:line="360" w:lineRule="auto"/>
        <w:ind w:firstLine="480" w:firstLineChars="200"/>
        <w:rPr>
          <w:sz w:val="24"/>
          <w:szCs w:val="24"/>
        </w:rPr>
      </w:pPr>
      <w:r>
        <w:rPr>
          <w:sz w:val="24"/>
          <w:szCs w:val="24"/>
        </w:rPr>
        <w:t>第二十二条  实验室的建设与发展规划要纳入学校的总体发展规划。其中房屋、基础设施建设要纳入学校基本建设规划；实验室用房要纳入教学行政用房分配、调整方案；仪器设备、实验维持、维修等费用要纳入经费预算；实验技术人员的结构配备方案要列入队伍建设规划。</w:t>
      </w:r>
    </w:p>
    <w:p>
      <w:pPr>
        <w:spacing w:line="360" w:lineRule="auto"/>
        <w:ind w:firstLine="480" w:firstLineChars="200"/>
        <w:rPr>
          <w:sz w:val="24"/>
          <w:szCs w:val="24"/>
        </w:rPr>
      </w:pPr>
      <w:r>
        <w:rPr>
          <w:sz w:val="24"/>
          <w:szCs w:val="24"/>
        </w:rPr>
        <w:t>第二十三条  实验室的设立应具备以下基本条件：</w:t>
      </w:r>
    </w:p>
    <w:p>
      <w:pPr>
        <w:spacing w:line="360" w:lineRule="auto"/>
        <w:ind w:firstLine="480" w:firstLineChars="200"/>
        <w:rPr>
          <w:sz w:val="24"/>
          <w:szCs w:val="24"/>
        </w:rPr>
      </w:pPr>
      <w:r>
        <w:rPr>
          <w:sz w:val="24"/>
          <w:szCs w:val="24"/>
        </w:rPr>
        <w:t>（一）有明确的学科发展方向和稳定的实验教学或科研、技术开发等任务；</w:t>
      </w:r>
    </w:p>
    <w:p>
      <w:pPr>
        <w:spacing w:line="360" w:lineRule="auto"/>
        <w:ind w:firstLine="480" w:firstLineChars="200"/>
        <w:rPr>
          <w:sz w:val="24"/>
          <w:szCs w:val="24"/>
        </w:rPr>
      </w:pPr>
      <w:r>
        <w:rPr>
          <w:sz w:val="24"/>
          <w:szCs w:val="24"/>
        </w:rPr>
        <w:t>（二）有符合实验技术工作要求的房舍、设施及环境。实验室用房面积原则上不得低于100平方米；</w:t>
      </w:r>
    </w:p>
    <w:p>
      <w:pPr>
        <w:spacing w:line="360" w:lineRule="auto"/>
        <w:ind w:firstLine="480" w:firstLineChars="200"/>
        <w:rPr>
          <w:sz w:val="24"/>
          <w:szCs w:val="24"/>
        </w:rPr>
      </w:pPr>
      <w:r>
        <w:rPr>
          <w:sz w:val="24"/>
          <w:szCs w:val="24"/>
        </w:rPr>
        <w:t>（三）有足够数量、配套的仪器设备；</w:t>
      </w:r>
    </w:p>
    <w:p>
      <w:pPr>
        <w:spacing w:line="360" w:lineRule="auto"/>
        <w:ind w:firstLine="480" w:firstLineChars="200"/>
        <w:rPr>
          <w:sz w:val="24"/>
          <w:szCs w:val="24"/>
        </w:rPr>
      </w:pPr>
      <w:r>
        <w:rPr>
          <w:sz w:val="24"/>
          <w:szCs w:val="24"/>
        </w:rPr>
        <w:t>（四）有相对稳定、结构合理的实验室工作人员，包括合格的实验室主任和原则上两名（含）以上的专职实验技术人员；</w:t>
      </w:r>
    </w:p>
    <w:p>
      <w:pPr>
        <w:spacing w:line="360" w:lineRule="auto"/>
        <w:ind w:firstLine="480" w:firstLineChars="200"/>
        <w:rPr>
          <w:sz w:val="24"/>
          <w:szCs w:val="24"/>
        </w:rPr>
      </w:pPr>
      <w:r>
        <w:rPr>
          <w:sz w:val="24"/>
          <w:szCs w:val="24"/>
        </w:rPr>
        <w:t>（五）有科学的实验室工作规范和完善的管理制度。</w:t>
      </w:r>
    </w:p>
    <w:p>
      <w:pPr>
        <w:spacing w:line="360" w:lineRule="auto"/>
        <w:ind w:firstLine="480" w:firstLineChars="200"/>
        <w:rPr>
          <w:sz w:val="24"/>
          <w:szCs w:val="24"/>
        </w:rPr>
      </w:pPr>
      <w:r>
        <w:rPr>
          <w:sz w:val="24"/>
          <w:szCs w:val="24"/>
        </w:rPr>
        <w:t>第二十四条  国家级、省部级、厅级实验室的建立、调整和撤消由各级行政主管部门负责审批。</w:t>
      </w:r>
    </w:p>
    <w:p>
      <w:pPr>
        <w:spacing w:line="360" w:lineRule="auto"/>
        <w:ind w:firstLine="480" w:firstLineChars="200"/>
        <w:rPr>
          <w:sz w:val="24"/>
          <w:szCs w:val="24"/>
        </w:rPr>
      </w:pPr>
      <w:r>
        <w:rPr>
          <w:sz w:val="24"/>
          <w:szCs w:val="24"/>
        </w:rPr>
        <w:t>第二十五条  校级及校级以下实验室的建立、调整和撤消由实验室工作委员会负责审批。</w:t>
      </w:r>
    </w:p>
    <w:p>
      <w:pPr>
        <w:spacing w:line="360" w:lineRule="auto"/>
        <w:ind w:firstLine="480" w:firstLineChars="200"/>
        <w:rPr>
          <w:sz w:val="24"/>
          <w:szCs w:val="24"/>
        </w:rPr>
      </w:pPr>
      <w:r>
        <w:rPr>
          <w:sz w:val="24"/>
          <w:szCs w:val="24"/>
        </w:rPr>
        <w:t>第二十六条  实验室的建立必须进行必要性、可行性论证。凡申请新建的实验室，须由建设单位向实验室工作委员会提出书面申请报告，详细说明实验室建立的必要性、可行性和建设条件。实验室工作委员会组织论证、审定，报学校批准后方可实施。</w:t>
      </w:r>
    </w:p>
    <w:p>
      <w:pPr>
        <w:spacing w:line="360" w:lineRule="auto"/>
        <w:ind w:firstLine="480" w:firstLineChars="200"/>
        <w:rPr>
          <w:sz w:val="24"/>
          <w:szCs w:val="24"/>
        </w:rPr>
      </w:pPr>
      <w:r>
        <w:rPr>
          <w:sz w:val="24"/>
          <w:szCs w:val="24"/>
        </w:rPr>
        <w:t>第二十七条  实验室的调整指对实验室进行不涉及实验室新建和原有实验室撤消的调整，如：实验室的更名、实验室的部分合并、实验室方向及任务的变化等。实验室的调整需详细说明调整理由和方案，书面报送实验室工作委员会，经批准后方可进行。</w:t>
      </w:r>
    </w:p>
    <w:p>
      <w:pPr>
        <w:spacing w:line="360" w:lineRule="auto"/>
        <w:ind w:firstLine="480" w:firstLineChars="200"/>
        <w:rPr>
          <w:sz w:val="24"/>
          <w:szCs w:val="24"/>
        </w:rPr>
      </w:pPr>
      <w:r>
        <w:rPr>
          <w:sz w:val="24"/>
          <w:szCs w:val="24"/>
        </w:rPr>
        <w:t>第二十八条  实验室的撤消，需详细说明实验室撤消的理由和方案，实验室工作人员的安排、用房的处理办法、仪器设备及相关经费的处理意见等，书面报送实验室工作委员会审定，经学校批准后方可执行。</w:t>
      </w:r>
    </w:p>
    <w:p>
      <w:pPr>
        <w:spacing w:line="360" w:lineRule="auto"/>
        <w:jc w:val="center"/>
        <w:rPr>
          <w:b/>
          <w:sz w:val="24"/>
          <w:szCs w:val="24"/>
        </w:rPr>
      </w:pPr>
      <w:r>
        <w:rPr>
          <w:b/>
          <w:sz w:val="24"/>
          <w:szCs w:val="24"/>
        </w:rPr>
        <w:t>第五章  实验室管理</w:t>
      </w:r>
    </w:p>
    <w:p>
      <w:pPr>
        <w:spacing w:line="360" w:lineRule="auto"/>
        <w:ind w:firstLine="480" w:firstLineChars="200"/>
        <w:rPr>
          <w:sz w:val="24"/>
          <w:szCs w:val="24"/>
        </w:rPr>
      </w:pPr>
      <w:r>
        <w:rPr>
          <w:sz w:val="24"/>
          <w:szCs w:val="24"/>
        </w:rPr>
        <w:t>第二十九条  实验室应实行科学管理，完善各项规章制度。利用现代管理手段，对实验室的运行、人员、物资、经费、环境、安全等信息进行记录、统计和分析，及时为学校提供实验室状况的准确信息。</w:t>
      </w:r>
    </w:p>
    <w:p>
      <w:pPr>
        <w:spacing w:line="360" w:lineRule="auto"/>
        <w:ind w:firstLine="480" w:firstLineChars="200"/>
        <w:rPr>
          <w:sz w:val="24"/>
          <w:szCs w:val="24"/>
        </w:rPr>
      </w:pPr>
      <w:r>
        <w:rPr>
          <w:sz w:val="24"/>
          <w:szCs w:val="24"/>
        </w:rPr>
        <w:t>第三十条  实验室仪器设备类固定资产的管理，分别遵照内江师范学院《物资设备管理条例》、《仪器设备管理办法实施细则》、《教学科研仪器设备使用管理规定》、《一般设备管理办法》、《两用物资管理办法》、《大精贵仪器设备管理办法》、《物资设备购置、验收管理办法》、《仪器设备维护、维修管理办法》、《仪器设备报损、报废处理办法》、《设备器材损坏、丢失赔偿办法》等执行。</w:t>
      </w:r>
    </w:p>
    <w:p>
      <w:pPr>
        <w:spacing w:line="360" w:lineRule="auto"/>
        <w:ind w:firstLine="480" w:firstLineChars="200"/>
        <w:rPr>
          <w:sz w:val="24"/>
          <w:szCs w:val="24"/>
        </w:rPr>
      </w:pPr>
      <w:r>
        <w:rPr>
          <w:sz w:val="24"/>
          <w:szCs w:val="24"/>
        </w:rPr>
        <w:t>第三十一条  实验室低值品、材料、易耗品等流动资产的管理，遵照内江师范学院《低值品、材料、易耗品管理办法》执行。</w:t>
      </w:r>
    </w:p>
    <w:p>
      <w:pPr>
        <w:spacing w:line="360" w:lineRule="auto"/>
        <w:ind w:firstLine="480" w:firstLineChars="200"/>
        <w:rPr>
          <w:sz w:val="24"/>
          <w:szCs w:val="24"/>
        </w:rPr>
      </w:pPr>
      <w:r>
        <w:rPr>
          <w:sz w:val="24"/>
          <w:szCs w:val="24"/>
        </w:rPr>
        <w:t>第三十二条  利用实验室对校内外进行有偿服务的，其收入应主要用于实验室建设，遵照内江师范学院《实验室有偿服务管理办法》执行。</w:t>
      </w:r>
    </w:p>
    <w:p>
      <w:pPr>
        <w:spacing w:line="360" w:lineRule="auto"/>
        <w:ind w:firstLine="480" w:firstLineChars="200"/>
        <w:rPr>
          <w:sz w:val="24"/>
          <w:szCs w:val="24"/>
        </w:rPr>
      </w:pPr>
      <w:r>
        <w:rPr>
          <w:sz w:val="24"/>
          <w:szCs w:val="24"/>
        </w:rPr>
        <w:t>第三十三条  对外开放的实验室，凡对外出具公证数据的，要按照国家教育部和国家技术监督局的有关规定和办法进行计量认证。</w:t>
      </w:r>
    </w:p>
    <w:p>
      <w:pPr>
        <w:spacing w:line="360" w:lineRule="auto"/>
        <w:ind w:firstLine="480" w:firstLineChars="200"/>
        <w:rPr>
          <w:sz w:val="24"/>
          <w:szCs w:val="24"/>
        </w:rPr>
      </w:pPr>
      <w:r>
        <w:rPr>
          <w:sz w:val="24"/>
          <w:szCs w:val="24"/>
        </w:rPr>
        <w:t>第三十四条  实验室应高度重视安全管理工作，严格遵守国务院颁发的《危险化学品安全管理条例》、《放射性同位素与射线装置放射防护条例》及学校《实验室安全管理制度》、《实验室“三废”处理办法》、《危险品管理办法》等的规定，定期检查防火、防盗、防爆、防辐射、防污染、防事故等方面安全措施的落实情况，不随意排放废气、废水、废物，经常性地对师生开展安全教育，切实保障人身和财产安全。</w:t>
      </w:r>
    </w:p>
    <w:p>
      <w:pPr>
        <w:spacing w:line="360" w:lineRule="auto"/>
        <w:ind w:firstLine="480" w:firstLineChars="200"/>
        <w:rPr>
          <w:sz w:val="24"/>
          <w:szCs w:val="24"/>
        </w:rPr>
      </w:pPr>
      <w:r>
        <w:rPr>
          <w:sz w:val="24"/>
          <w:szCs w:val="24"/>
        </w:rPr>
        <w:t>第三十五条  对于在实验室中从事有害健康工种的工作人员，可参照国家有关规定，享受保健待遇。</w:t>
      </w:r>
    </w:p>
    <w:p>
      <w:pPr>
        <w:spacing w:line="360" w:lineRule="auto"/>
        <w:ind w:firstLine="480" w:firstLineChars="200"/>
        <w:rPr>
          <w:sz w:val="24"/>
          <w:szCs w:val="24"/>
        </w:rPr>
      </w:pPr>
      <w:r>
        <w:rPr>
          <w:sz w:val="24"/>
          <w:szCs w:val="24"/>
        </w:rPr>
        <w:t>第三十六条  学校定期开展实验室工作的检查，对管理工作成绩显著的集体和个人要进行表彰和鼓励，对违章失职或因工作不负责任造成损失者，视情节轻重分别进行批评教育、处分直至追究法律责任。</w:t>
      </w:r>
    </w:p>
    <w:p>
      <w:pPr>
        <w:spacing w:line="360" w:lineRule="auto"/>
        <w:jc w:val="center"/>
        <w:rPr>
          <w:b/>
          <w:sz w:val="24"/>
          <w:szCs w:val="24"/>
        </w:rPr>
      </w:pPr>
      <w:r>
        <w:rPr>
          <w:b/>
          <w:sz w:val="24"/>
          <w:szCs w:val="24"/>
        </w:rPr>
        <w:t>第六章  实验室工作人员和责任</w:t>
      </w:r>
    </w:p>
    <w:p>
      <w:pPr>
        <w:spacing w:line="360" w:lineRule="auto"/>
        <w:ind w:firstLine="480" w:firstLineChars="200"/>
        <w:rPr>
          <w:sz w:val="24"/>
          <w:szCs w:val="24"/>
        </w:rPr>
      </w:pPr>
      <w:r>
        <w:rPr>
          <w:sz w:val="24"/>
          <w:szCs w:val="24"/>
        </w:rPr>
        <w:t xml:space="preserve">第三十七条  实验室工作人员包括：从事实验室工作的教师、研究人员、实验技术人员、管理人员和工人等。工作人员岗位职责可根据实验室的性质和需要具体确定。各类工作人员要有明确的职责分工，各司其职，团结协作，完成各项任务。 </w:t>
      </w:r>
    </w:p>
    <w:p>
      <w:pPr>
        <w:spacing w:line="360" w:lineRule="auto"/>
        <w:ind w:firstLine="480" w:firstLineChars="200"/>
        <w:rPr>
          <w:sz w:val="24"/>
          <w:szCs w:val="24"/>
        </w:rPr>
      </w:pPr>
      <w:r>
        <w:rPr>
          <w:sz w:val="24"/>
          <w:szCs w:val="24"/>
        </w:rPr>
        <w:t>第三十八条  实验室实行主任负责制。学院（系）实验室（中心）主任由各二级学院聘任或任命，报国资处备案；校级实验室（中心）主任由学校聘任或任命；国家、省部、厅级实验室（中心）主任的聘任或任命按相关主管部门的规定执行。</w:t>
      </w:r>
    </w:p>
    <w:p>
      <w:pPr>
        <w:spacing w:line="360" w:lineRule="auto"/>
        <w:ind w:firstLine="480" w:firstLineChars="200"/>
        <w:rPr>
          <w:sz w:val="24"/>
          <w:szCs w:val="24"/>
        </w:rPr>
      </w:pPr>
      <w:r>
        <w:rPr>
          <w:sz w:val="24"/>
          <w:szCs w:val="24"/>
        </w:rPr>
        <w:t xml:space="preserve">第三十九条  实验室主任的主要职责： </w:t>
      </w:r>
    </w:p>
    <w:p>
      <w:pPr>
        <w:spacing w:line="360" w:lineRule="auto"/>
        <w:ind w:firstLine="480" w:firstLineChars="200"/>
        <w:rPr>
          <w:sz w:val="24"/>
          <w:szCs w:val="24"/>
        </w:rPr>
      </w:pPr>
      <w:r>
        <w:rPr>
          <w:sz w:val="24"/>
          <w:szCs w:val="24"/>
        </w:rPr>
        <w:t>（一）对实验室进行科学管理，贯彻实施有关规章制度；</w:t>
      </w:r>
    </w:p>
    <w:p>
      <w:pPr>
        <w:spacing w:line="360" w:lineRule="auto"/>
        <w:ind w:firstLine="480" w:firstLineChars="200"/>
        <w:rPr>
          <w:sz w:val="24"/>
          <w:szCs w:val="24"/>
        </w:rPr>
      </w:pPr>
      <w:r>
        <w:rPr>
          <w:sz w:val="24"/>
          <w:szCs w:val="24"/>
        </w:rPr>
        <w:t xml:space="preserve">（二）组织编制实验室建设规划和工作计划，并组织实施和检查执行情况； </w:t>
      </w:r>
    </w:p>
    <w:p>
      <w:pPr>
        <w:spacing w:line="360" w:lineRule="auto"/>
        <w:ind w:firstLine="480" w:firstLineChars="200"/>
        <w:rPr>
          <w:sz w:val="24"/>
          <w:szCs w:val="24"/>
        </w:rPr>
      </w:pPr>
      <w:r>
        <w:rPr>
          <w:sz w:val="24"/>
          <w:szCs w:val="24"/>
        </w:rPr>
        <w:t xml:space="preserve">（三）领导并组织完成本条例第二章规定的实验室基本任务； </w:t>
      </w:r>
    </w:p>
    <w:p>
      <w:pPr>
        <w:spacing w:line="360" w:lineRule="auto"/>
        <w:ind w:firstLine="480" w:firstLineChars="200"/>
        <w:rPr>
          <w:sz w:val="24"/>
          <w:szCs w:val="24"/>
        </w:rPr>
      </w:pPr>
      <w:r>
        <w:rPr>
          <w:sz w:val="24"/>
          <w:szCs w:val="24"/>
        </w:rPr>
        <w:t xml:space="preserve">（四） 分配本实验室各类人员的工作，制定岗位责任制，负责本实验室工作人员的培训及考核； </w:t>
      </w:r>
    </w:p>
    <w:p>
      <w:pPr>
        <w:spacing w:line="360" w:lineRule="auto"/>
        <w:ind w:firstLine="480" w:firstLineChars="200"/>
        <w:rPr>
          <w:sz w:val="24"/>
          <w:szCs w:val="24"/>
        </w:rPr>
      </w:pPr>
      <w:r>
        <w:rPr>
          <w:sz w:val="24"/>
          <w:szCs w:val="24"/>
        </w:rPr>
        <w:t>（五）完成上级领导部门布置的其他工作。</w:t>
      </w:r>
    </w:p>
    <w:p>
      <w:pPr>
        <w:spacing w:line="360" w:lineRule="auto"/>
        <w:ind w:firstLine="480" w:firstLineChars="200"/>
        <w:rPr>
          <w:sz w:val="24"/>
          <w:szCs w:val="24"/>
        </w:rPr>
      </w:pPr>
      <w:r>
        <w:rPr>
          <w:sz w:val="24"/>
          <w:szCs w:val="24"/>
        </w:rPr>
        <w:t>第四十条  实验技术人员主要职责：</w:t>
      </w:r>
    </w:p>
    <w:p>
      <w:pPr>
        <w:spacing w:line="360" w:lineRule="auto"/>
        <w:ind w:firstLine="480" w:firstLineChars="200"/>
        <w:rPr>
          <w:sz w:val="24"/>
          <w:szCs w:val="24"/>
        </w:rPr>
      </w:pPr>
      <w:r>
        <w:rPr>
          <w:sz w:val="24"/>
          <w:szCs w:val="24"/>
        </w:rPr>
        <w:t>（一）爱岗敬业，遵守和执行有关规章制度，努力完成本职工作；</w:t>
      </w:r>
    </w:p>
    <w:p>
      <w:pPr>
        <w:spacing w:line="360" w:lineRule="auto"/>
        <w:ind w:firstLine="480" w:firstLineChars="200"/>
        <w:rPr>
          <w:sz w:val="24"/>
          <w:szCs w:val="24"/>
        </w:rPr>
      </w:pPr>
      <w:r>
        <w:rPr>
          <w:sz w:val="24"/>
          <w:szCs w:val="24"/>
        </w:rPr>
        <w:t>（二）努力掌握相关的实验原理和实验技术，不断提高业务能力和实验水平；</w:t>
      </w:r>
    </w:p>
    <w:p>
      <w:pPr>
        <w:spacing w:line="360" w:lineRule="auto"/>
        <w:ind w:firstLine="480" w:firstLineChars="200"/>
        <w:rPr>
          <w:sz w:val="24"/>
          <w:szCs w:val="24"/>
        </w:rPr>
      </w:pPr>
      <w:r>
        <w:rPr>
          <w:sz w:val="24"/>
          <w:szCs w:val="24"/>
        </w:rPr>
        <w:t>（三）熟练掌握有关仪器设备的工作原理，做好仪器设备的管理、运行、维修、维护、改进工作，积极研制和开发新仪器；</w:t>
      </w:r>
    </w:p>
    <w:p>
      <w:pPr>
        <w:spacing w:line="360" w:lineRule="auto"/>
        <w:ind w:firstLine="480" w:firstLineChars="200"/>
        <w:rPr>
          <w:sz w:val="24"/>
          <w:szCs w:val="24"/>
        </w:rPr>
      </w:pPr>
      <w:r>
        <w:rPr>
          <w:sz w:val="24"/>
          <w:szCs w:val="24"/>
        </w:rPr>
        <w:t>（四）认真做好实验的准备及辅助工作，保证实验顺利完成，并积极配合教师做好实验的更新改进工作；</w:t>
      </w:r>
    </w:p>
    <w:p>
      <w:pPr>
        <w:spacing w:line="360" w:lineRule="auto"/>
        <w:ind w:firstLine="480" w:firstLineChars="200"/>
        <w:rPr>
          <w:sz w:val="24"/>
          <w:szCs w:val="24"/>
        </w:rPr>
      </w:pPr>
      <w:r>
        <w:rPr>
          <w:sz w:val="24"/>
          <w:szCs w:val="24"/>
        </w:rPr>
        <w:t>（五）积极参加科学研究工作，配合研究人员完成科研任务；</w:t>
      </w:r>
    </w:p>
    <w:p>
      <w:pPr>
        <w:spacing w:line="360" w:lineRule="auto"/>
        <w:ind w:firstLine="480" w:firstLineChars="200"/>
        <w:rPr>
          <w:sz w:val="24"/>
          <w:szCs w:val="24"/>
        </w:rPr>
      </w:pPr>
      <w:r>
        <w:rPr>
          <w:sz w:val="24"/>
          <w:szCs w:val="24"/>
        </w:rPr>
        <w:t xml:space="preserve">（六）做好实验室的管理、安全和卫生工作。 </w:t>
      </w:r>
    </w:p>
    <w:p>
      <w:pPr>
        <w:tabs>
          <w:tab w:val="left" w:pos="1905"/>
        </w:tabs>
        <w:spacing w:line="360" w:lineRule="auto"/>
        <w:jc w:val="center"/>
        <w:rPr>
          <w:b/>
          <w:sz w:val="24"/>
          <w:szCs w:val="24"/>
        </w:rPr>
      </w:pPr>
      <w:r>
        <w:rPr>
          <w:b/>
          <w:sz w:val="24"/>
          <w:szCs w:val="24"/>
        </w:rPr>
        <w:t>第七章  附则</w:t>
      </w:r>
    </w:p>
    <w:p>
      <w:pPr>
        <w:spacing w:line="360" w:lineRule="auto"/>
        <w:ind w:firstLine="480" w:firstLineChars="200"/>
        <w:rPr>
          <w:sz w:val="24"/>
          <w:szCs w:val="24"/>
        </w:rPr>
      </w:pPr>
      <w:r>
        <w:rPr>
          <w:sz w:val="24"/>
          <w:szCs w:val="24"/>
        </w:rPr>
        <w:t>第四十一条  本条例由国有资产与实验设备管理处负责解释。</w:t>
      </w:r>
    </w:p>
    <w:p>
      <w:pPr>
        <w:spacing w:line="360" w:lineRule="auto"/>
        <w:ind w:firstLine="480" w:firstLineChars="200"/>
        <w:rPr>
          <w:sz w:val="24"/>
          <w:szCs w:val="24"/>
        </w:rPr>
      </w:pPr>
      <w:r>
        <w:rPr>
          <w:sz w:val="24"/>
          <w:szCs w:val="24"/>
        </w:rPr>
        <w:t>第四十二条  本办法经2011年5月11日校长办公会议讨论通过，自发布之日起施行，学校其它文件内容与本文件不相符的，以本文件为准。</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right"/>
        <w:rPr>
          <w:sz w:val="24"/>
          <w:szCs w:val="24"/>
        </w:rPr>
      </w:pPr>
      <w:r>
        <w:rPr>
          <w:sz w:val="24"/>
          <w:szCs w:val="24"/>
        </w:rPr>
        <w:t xml:space="preserve">                                           </w:t>
      </w:r>
      <w:r>
        <w:rPr>
          <w:rFonts w:hint="eastAsia"/>
          <w:sz w:val="24"/>
          <w:szCs w:val="24"/>
        </w:rPr>
        <w:t>2</w:t>
      </w:r>
      <w:r>
        <w:rPr>
          <w:sz w:val="24"/>
          <w:szCs w:val="24"/>
        </w:rPr>
        <w:t>011年</w:t>
      </w:r>
      <w:r>
        <w:rPr>
          <w:rFonts w:hint="eastAsia"/>
          <w:sz w:val="24"/>
          <w:szCs w:val="24"/>
        </w:rPr>
        <w:t>5</w:t>
      </w:r>
      <w:r>
        <w:rPr>
          <w:sz w:val="24"/>
          <w:szCs w:val="24"/>
        </w:rPr>
        <w:t>月</w:t>
      </w:r>
      <w:r>
        <w:rPr>
          <w:rFonts w:hint="eastAsia"/>
          <w:sz w:val="24"/>
          <w:szCs w:val="24"/>
        </w:rPr>
        <w:t>1</w:t>
      </w:r>
      <w:r>
        <w:rPr>
          <w:sz w:val="24"/>
          <w:szCs w:val="24"/>
        </w:rPr>
        <w:t>6日</w:t>
      </w:r>
    </w:p>
    <w:p>
      <w:pPr>
        <w:spacing w:line="360" w:lineRule="auto"/>
        <w:rPr>
          <w:sz w:val="24"/>
          <w:szCs w:val="24"/>
        </w:rPr>
      </w:pPr>
    </w:p>
    <w:p>
      <w:pPr>
        <w:spacing w:line="560" w:lineRule="exact"/>
        <w:jc w:val="center"/>
        <w:rPr>
          <w:rFonts w:ascii="宋体" w:hAnsi="宋体" w:eastAsia="宋体"/>
          <w:b/>
          <w:w w:val="90"/>
          <w:sz w:val="32"/>
          <w:szCs w:val="32"/>
        </w:rPr>
      </w:pPr>
      <w:r>
        <w:rPr>
          <w:rFonts w:hint="eastAsia" w:ascii="宋体" w:hAnsi="宋体" w:eastAsia="宋体"/>
          <w:b/>
          <w:w w:val="90"/>
          <w:sz w:val="32"/>
          <w:szCs w:val="32"/>
        </w:rPr>
        <w:t>内江师范学院课程考核管理办法</w:t>
      </w:r>
      <w:r>
        <w:rPr>
          <w:rFonts w:hint="eastAsia" w:ascii="宋体" w:hAnsi="宋体" w:eastAsia="宋体"/>
          <w:b/>
          <w:sz w:val="32"/>
          <w:szCs w:val="32"/>
        </w:rPr>
        <w:t>（修订）</w:t>
      </w:r>
    </w:p>
    <w:p>
      <w:pPr>
        <w:spacing w:line="560" w:lineRule="exact"/>
        <w:jc w:val="center"/>
        <w:rPr>
          <w:rFonts w:ascii="宋体" w:hAnsi="宋体" w:eastAsia="宋体"/>
          <w:b/>
          <w:sz w:val="28"/>
          <w:szCs w:val="28"/>
        </w:rPr>
      </w:pPr>
      <w:r>
        <w:rPr>
          <w:rFonts w:hint="eastAsia" w:ascii="宋体" w:hAnsi="宋体" w:eastAsia="宋体"/>
          <w:b/>
          <w:sz w:val="28"/>
          <w:szCs w:val="28"/>
        </w:rPr>
        <w:t>内师院发〔2018〕142号</w:t>
      </w:r>
    </w:p>
    <w:p>
      <w:pPr>
        <w:spacing w:line="560" w:lineRule="exact"/>
        <w:jc w:val="center"/>
        <w:rPr>
          <w:rFonts w:ascii="宋体" w:hAnsi="宋体" w:eastAsia="宋体"/>
          <w:b/>
          <w:sz w:val="28"/>
          <w:szCs w:val="28"/>
        </w:rPr>
      </w:pPr>
    </w:p>
    <w:p>
      <w:pPr>
        <w:spacing w:line="440" w:lineRule="exact"/>
        <w:jc w:val="center"/>
        <w:rPr>
          <w:rFonts w:ascii="宋体" w:hAnsi="宋体" w:eastAsia="宋体"/>
          <w:b/>
          <w:sz w:val="24"/>
          <w:szCs w:val="24"/>
        </w:rPr>
      </w:pPr>
      <w:r>
        <w:rPr>
          <w:rFonts w:hint="eastAsia" w:ascii="宋体" w:hAnsi="宋体" w:eastAsia="宋体"/>
          <w:b/>
          <w:sz w:val="24"/>
          <w:szCs w:val="24"/>
        </w:rPr>
        <w:t>第一章  总  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第一条  为维护正常教学秩序，规范我校课程考核管理工作，严肃考风考纪，营造良好的学风，提高教学质量，特制定本办法。</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第二条  课程考核工作是教学管理的重要环节，是检验学生学习成效、保证教学质量的重要手段，是教学质量管理与评价的重要内容。凡属人才培养方案规定的课程</w:t>
      </w:r>
      <w:bookmarkStart w:id="44" w:name="_Hlk520382413"/>
      <w:r>
        <w:rPr>
          <w:rFonts w:hint="eastAsia" w:ascii="宋体" w:hAnsi="宋体" w:eastAsia="宋体"/>
          <w:sz w:val="24"/>
          <w:szCs w:val="24"/>
        </w:rPr>
        <w:t>或实践教学环节</w:t>
      </w:r>
      <w:bookmarkEnd w:id="44"/>
      <w:r>
        <w:rPr>
          <w:rFonts w:hint="eastAsia" w:ascii="宋体" w:hAnsi="宋体" w:eastAsia="宋体"/>
          <w:sz w:val="24"/>
          <w:szCs w:val="24"/>
        </w:rPr>
        <w:t>应按学期进行考核。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第三条  凡学校普通高等学历教育的全日制在籍学生必须参加所修课程或实践教学环节的考核，并取得相应的成绩评定，成绩合格者可获得相应学分。</w:t>
      </w:r>
    </w:p>
    <w:p>
      <w:pPr>
        <w:spacing w:line="440" w:lineRule="exact"/>
        <w:jc w:val="center"/>
        <w:rPr>
          <w:rFonts w:ascii="宋体" w:hAnsi="宋体" w:eastAsia="宋体"/>
          <w:b/>
          <w:sz w:val="24"/>
          <w:szCs w:val="24"/>
        </w:rPr>
      </w:pPr>
      <w:r>
        <w:rPr>
          <w:rFonts w:hint="eastAsia" w:ascii="宋体" w:hAnsi="宋体" w:eastAsia="宋体"/>
          <w:b/>
          <w:sz w:val="24"/>
          <w:szCs w:val="24"/>
        </w:rPr>
        <w:t>第二章  考核方式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第四条  课程考核方式分为考试与考查。考试一般包括笔试</w:t>
      </w:r>
      <w:bookmarkStart w:id="45" w:name="_Hlk520388662"/>
      <w:r>
        <w:rPr>
          <w:rFonts w:hint="eastAsia" w:ascii="宋体" w:hAnsi="宋体" w:eastAsia="宋体"/>
          <w:sz w:val="24"/>
          <w:szCs w:val="24"/>
        </w:rPr>
        <w:t>（含</w:t>
      </w:r>
      <w:bookmarkStart w:id="46" w:name="_Hlk520388882"/>
      <w:r>
        <w:rPr>
          <w:rFonts w:hint="eastAsia" w:ascii="宋体" w:hAnsi="宋体" w:eastAsia="宋体"/>
          <w:sz w:val="24"/>
          <w:szCs w:val="24"/>
        </w:rPr>
        <w:t>闭卷考试、开卷考试等）</w:t>
      </w:r>
      <w:bookmarkEnd w:id="45"/>
      <w:bookmarkEnd w:id="46"/>
      <w:r>
        <w:rPr>
          <w:rFonts w:hint="eastAsia" w:ascii="宋体" w:hAnsi="宋体" w:eastAsia="宋体"/>
          <w:sz w:val="24"/>
          <w:szCs w:val="24"/>
        </w:rPr>
        <w:t>、口试、实验、技能测试等方式，采用百分制记分；考查一般包括课程论文、调研（调查）报告、课程设计、实践（验）操作、艺术创作等，采用百分制或其他记分方式。学科基础课和专业核心课原则上采用考试方式。任课教师可结合课程实际，改革考核方式，加强学习过程考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第五条  课程考核方式（包括考核类型、成绩构成比例、成绩评定方式等）在制订课程教学大纲时确定。如拟采用与课程教学大纲要求不一致的考核方式，任课教师应在开课前提交《内江师范学院课程考核形式调整申请表》，经教学单位审核通过后，报教务处备案。</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第六条  笔试时间一般为2小时。</w:t>
      </w:r>
    </w:p>
    <w:p>
      <w:pPr>
        <w:spacing w:line="440" w:lineRule="exact"/>
        <w:jc w:val="center"/>
        <w:rPr>
          <w:rFonts w:ascii="宋体" w:hAnsi="宋体" w:eastAsia="宋体"/>
          <w:b/>
          <w:sz w:val="24"/>
          <w:szCs w:val="24"/>
        </w:rPr>
      </w:pPr>
      <w:r>
        <w:rPr>
          <w:rFonts w:hint="eastAsia" w:ascii="宋体" w:hAnsi="宋体" w:eastAsia="宋体"/>
          <w:b/>
          <w:sz w:val="24"/>
          <w:szCs w:val="24"/>
        </w:rPr>
        <w:t>第三章  考试命题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第七条  </w:t>
      </w:r>
      <w:bookmarkStart w:id="47" w:name="_Hlk520533233"/>
      <w:r>
        <w:rPr>
          <w:rFonts w:hint="eastAsia" w:ascii="宋体" w:hAnsi="宋体" w:eastAsia="宋体"/>
          <w:sz w:val="24"/>
          <w:szCs w:val="24"/>
        </w:rPr>
        <w:t>命题规范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（一）考试</w:t>
      </w:r>
      <w:bookmarkEnd w:id="47"/>
      <w:r>
        <w:rPr>
          <w:rFonts w:hint="eastAsia" w:ascii="宋体" w:hAnsi="宋体" w:eastAsia="宋体"/>
          <w:sz w:val="24"/>
          <w:szCs w:val="24"/>
        </w:rPr>
        <w:t>命题应以课程教学大纲为依据，覆盖课程教学大纲的主要内容，全面考察学生对课程的基本知识、基础理论的掌握情况，以及综合应用知识分析问题、解决问题的能力。</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（二）命题应有一定的</w:t>
      </w:r>
      <w:bookmarkStart w:id="48" w:name="_Hlk520539062"/>
      <w:r>
        <w:rPr>
          <w:rFonts w:hint="eastAsia" w:ascii="宋体" w:hAnsi="宋体" w:eastAsia="宋体"/>
          <w:sz w:val="24"/>
          <w:szCs w:val="24"/>
        </w:rPr>
        <w:t>广度、深度、难度与区分度</w:t>
      </w:r>
      <w:bookmarkEnd w:id="48"/>
      <w:r>
        <w:rPr>
          <w:rFonts w:hint="eastAsia" w:ascii="宋体" w:hAnsi="宋体" w:eastAsia="宋体"/>
          <w:sz w:val="24"/>
          <w:szCs w:val="24"/>
        </w:rPr>
        <w:t>，题量适当，题型结构科学，在保证客观性、代表性的基础上具备一定程度的灵活性。开卷试题应以综合分析题、应用题、探究题等为主，一般不采用客观题。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（三）命题表达应清楚、完整、准确、简明；文字、数据、单位、符号、公式、图表等工整、清楚、准确，符合相关标准。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（四）每门课程应命制广度、深度、难度与区分度相当的A、B两套试卷，且试题重复率应小于10%。每份试卷应有配套的参考答案和评分标准。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第八条  命题程序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考试命题由开课单位组织实施。教学大纲相同的同一门课程，统一命题；独立开设的课程依据教学大纲单独命题。鼓励所有课程根据教学大纲建立试题库，实现教考分离。课程考核命题工作应在考试前两周完成。</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开课单位应对试卷进行审核，认真填写《内江师范学院试卷审核表》。审核通过后，由试卷审核人随机抽取考试卷，其它试卷作为备用卷。开课单位统一填报《内江师范学院试卷文印登记表》，并将试卷送至学校指定部门统一制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（三）接触试卷的所有人员应切实做好保密工作，不得以任何形式泄露试题，否则按相关规定处理。</w:t>
      </w:r>
    </w:p>
    <w:p>
      <w:pPr>
        <w:spacing w:line="440" w:lineRule="exact"/>
        <w:jc w:val="center"/>
        <w:rPr>
          <w:rFonts w:ascii="宋体" w:hAnsi="宋体" w:eastAsia="宋体"/>
          <w:b/>
          <w:sz w:val="24"/>
          <w:szCs w:val="24"/>
        </w:rPr>
      </w:pPr>
      <w:r>
        <w:rPr>
          <w:rFonts w:hint="eastAsia" w:ascii="宋体" w:hAnsi="宋体" w:eastAsia="宋体"/>
          <w:b/>
          <w:sz w:val="24"/>
          <w:szCs w:val="24"/>
        </w:rPr>
        <w:t>第四章  考核组织</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第九条  课程考核时间一般安排在每学期的最后两周进行。通识课考核由开课单位与教务处协调统筹安排；其他课程考核由开课单位安排，报教务处备案。凡在其它时间组织的课程考核，应在考核前将具体安排报教务处备案。所有笔试考核应在指定考场统一进行。</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第十条  监考人员根据考生人数配置。70人以下的考场安排2名监考人员，70～100人的考场安排3名监考人员，100人以上的考场安排4名监考人员，每个考场原则上不超过130人。</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 xml:space="preserve">第十一条  监考人员应严格按照《内江师范学院课程考核监考操作规程》及学校其它相关规定，认真履行监考职责。监考人员一经确定，不得擅自变更。如因特殊原因确需变更的，应报所在学院分管副院长批准后，报教务处备案。 </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第十二条  各二级学院应加强对学生进行考风考纪教育，组织学生学习《内江师范学院考场规则》《内江师范学院考试违规处理办法》等相关规定，维护考试的严肃性和公正性。</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第十三条  学校对期末课程考核实行校院两级巡考制度。校级巡考人员由学校有关领导、教学指导委员会及其他相关部门负责人等组成；院级巡考人员由二级学院负责人、教学管理人员及教学指导委员会分委会等组成。</w:t>
      </w:r>
    </w:p>
    <w:p>
      <w:pPr>
        <w:spacing w:line="440" w:lineRule="exact"/>
        <w:jc w:val="center"/>
        <w:rPr>
          <w:rFonts w:ascii="宋体" w:hAnsi="宋体" w:eastAsia="宋体"/>
          <w:b/>
          <w:sz w:val="24"/>
          <w:szCs w:val="24"/>
        </w:rPr>
      </w:pPr>
      <w:r>
        <w:rPr>
          <w:rFonts w:hint="eastAsia" w:ascii="宋体" w:hAnsi="宋体" w:eastAsia="宋体"/>
          <w:b/>
          <w:sz w:val="24"/>
          <w:szCs w:val="24"/>
        </w:rPr>
        <w:t>第五章  试卷评阅</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第十四条  课程考核的试卷评阅工作由开课单位负责统一组织。试卷应组织集中评阅，采取统一的评分标准、流水作业评卷的方式进行。</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第十五条  阅卷教师应严格按照参考答案和评分标准，客观、公正、科学地评阅试卷，避免偏宽、偏严、错判或漏判。</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第十六条  试卷评阅一律使用红笔，在题首处记得分，并将每一大题的得分登记到卷首记分栏内。每个教学单位的试卷评阅方式应保持一致。</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第十七条  阅卷结束后，开课单位应组织试卷复查工作。试卷评阅和复查过程中发现问题进行改动时，阅卷教师或复查教师应在改动处签名。</w:t>
      </w:r>
    </w:p>
    <w:p>
      <w:pPr>
        <w:spacing w:line="440" w:lineRule="exact"/>
        <w:jc w:val="center"/>
        <w:rPr>
          <w:rFonts w:ascii="宋体" w:hAnsi="宋体" w:eastAsia="宋体"/>
          <w:b/>
          <w:sz w:val="24"/>
          <w:szCs w:val="24"/>
        </w:rPr>
      </w:pPr>
      <w:r>
        <w:rPr>
          <w:rFonts w:hint="eastAsia" w:ascii="宋体" w:hAnsi="宋体" w:eastAsia="宋体"/>
          <w:b/>
          <w:sz w:val="24"/>
          <w:szCs w:val="24"/>
        </w:rPr>
        <w:t>第六章  成绩管理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第十八条  课程成绩一般应由平时成绩和期末考核成绩构成。平时成绩由期中考试、课堂表现、实验报告、测验、作业、出勤情况等组成，所占比例不低于30%。鼓励任课教师加大过程考核成绩在课程总成绩中的比重。平时成绩核定应有相应的支撑材料。任课教师应在期末考核前公布平时成绩。</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第十九条  课程考核结束后，任课教师必须在规定时间内完成学生成绩评定和教务管理系统录入工作，并打印《学生成绩登记表》，签名后交</w:t>
      </w:r>
      <w:bookmarkStart w:id="49" w:name="_Hlk520708089"/>
      <w:r>
        <w:rPr>
          <w:rFonts w:hint="eastAsia" w:ascii="宋体" w:hAnsi="宋体" w:eastAsia="宋体"/>
          <w:sz w:val="24"/>
          <w:szCs w:val="24"/>
        </w:rPr>
        <w:t>开课单位或学生所在二级学院存档。</w:t>
      </w:r>
    </w:p>
    <w:bookmarkEnd w:id="49"/>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第二十条  成绩录入完毕后，任课教师应填写《内江师范学院课程考核试卷分析表》和《内江师范学院课程考核总成绩分析表》， 并打印纸质版，签名后交开课单位或学生所在二级学院存档。</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第二十一条  成绩一经发布，不得随意更改。如确需修改，由任课教师填写《内江师范学院教师录入成绩修改申请表》，负责人审核后报教务处审批，并附支撑材料。学生如对成绩有疑议，应在下一学期开学后3周内提交《内江师范学院学生试卷成绩复查申请表》，经开课单位审批后，统一组织复查。逾期一律不再受理。</w:t>
      </w:r>
    </w:p>
    <w:p>
      <w:pPr>
        <w:spacing w:line="440" w:lineRule="exact"/>
        <w:jc w:val="center"/>
        <w:rPr>
          <w:rFonts w:ascii="宋体" w:hAnsi="宋体" w:eastAsia="宋体"/>
          <w:b/>
          <w:sz w:val="24"/>
          <w:szCs w:val="24"/>
        </w:rPr>
      </w:pPr>
      <w:r>
        <w:rPr>
          <w:rFonts w:hint="eastAsia" w:ascii="宋体" w:hAnsi="宋体" w:eastAsia="宋体"/>
          <w:b/>
          <w:sz w:val="24"/>
          <w:szCs w:val="24"/>
        </w:rPr>
        <w:t>第七章  考核材料存档</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第二十二条  开课单位或学生所在二级学院负责课程考核相关材料的存档工作。评阅后的试卷按教学班的学号顺序装订成册，试卷封面填写完整、真实、清晰。随卷装入资料袋的材料包括：试卷（A、B卷）、A、B卷的参考答案和评分标准、试卷审核表、课程考核试卷分析表、课程考核总成绩分析表、平时成绩登记表、学生成绩登记表、考场情况登记表、巡考记录表等。</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第二十三条  无纸化考试须提供存有学生试卷评阅情况的存储介质。</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第二十四条  成绩登记表永久保存，其他考核材料按学年度、课程类别保存，保存至发生期后5年。</w:t>
      </w:r>
    </w:p>
    <w:p>
      <w:pPr>
        <w:spacing w:line="440" w:lineRule="exact"/>
        <w:jc w:val="center"/>
        <w:rPr>
          <w:rFonts w:ascii="宋体" w:hAnsi="宋体" w:eastAsia="宋体"/>
          <w:b/>
          <w:sz w:val="24"/>
          <w:szCs w:val="24"/>
        </w:rPr>
      </w:pPr>
      <w:r>
        <w:rPr>
          <w:rFonts w:hint="eastAsia" w:ascii="宋体" w:hAnsi="宋体" w:eastAsia="宋体"/>
          <w:b/>
          <w:sz w:val="24"/>
          <w:szCs w:val="24"/>
        </w:rPr>
        <w:t>第八章  附  则</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第二十五条  本办法适用于学校普通高等学历教育的全日制在籍学生课程考核管理。各教学单位可根据本办法制订具体实施细则。</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第二十六条  本办法由教务处负责解释。</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第二十七条  本办法自颁布之日起开始执行。原《内江师范学院课程考核管理办法（修订）》（内师教字﹝2014﹞132号）同时废止。</w:t>
      </w:r>
    </w:p>
    <w:p>
      <w:pPr>
        <w:spacing w:line="440" w:lineRule="exact"/>
        <w:rPr>
          <w:rFonts w:ascii="宋体" w:hAnsi="宋体" w:eastAsia="宋体"/>
          <w:sz w:val="24"/>
          <w:szCs w:val="24"/>
        </w:rPr>
      </w:pPr>
    </w:p>
    <w:p>
      <w:pPr>
        <w:spacing w:line="440" w:lineRule="exact"/>
        <w:jc w:val="center"/>
        <w:rPr>
          <w:rFonts w:ascii="宋体" w:hAnsi="宋体" w:eastAsia="宋体"/>
          <w:sz w:val="24"/>
          <w:szCs w:val="24"/>
        </w:rPr>
      </w:pPr>
    </w:p>
    <w:p>
      <w:pPr>
        <w:spacing w:line="440" w:lineRule="exact"/>
        <w:jc w:val="lef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 xml:space="preserve">                                </w:t>
      </w:r>
    </w:p>
    <w:p>
      <w:pPr>
        <w:spacing w:line="440" w:lineRule="exact"/>
        <w:ind w:left="3574" w:right="838" w:rightChars="399" w:hanging="3573" w:hangingChars="1489"/>
        <w:jc w:val="right"/>
        <w:rPr>
          <w:rFonts w:ascii="宋体" w:hAnsi="宋体" w:eastAsia="宋体"/>
          <w:sz w:val="24"/>
          <w:szCs w:val="24"/>
        </w:rPr>
      </w:pPr>
      <w:r>
        <w:rPr>
          <w:rFonts w:hint="eastAsia" w:ascii="宋体" w:hAnsi="宋体" w:eastAsia="宋体"/>
          <w:sz w:val="24"/>
          <w:szCs w:val="24"/>
        </w:rPr>
        <w:t xml:space="preserve">                               2018年9月26日</w:t>
      </w:r>
    </w:p>
    <w:p>
      <w:pPr>
        <w:spacing w:line="440" w:lineRule="exact"/>
        <w:rPr>
          <w:rFonts w:ascii="宋体" w:hAnsi="宋体" w:eastAsia="宋体"/>
          <w:sz w:val="24"/>
          <w:szCs w:val="24"/>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440" w:lineRule="exact"/>
        <w:rPr>
          <w:rFonts w:ascii="宋体" w:hAnsi="宋体" w:eastAsia="宋体"/>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hd w:val="clear" w:color="auto" w:fill="FEFEFE"/>
        <w:spacing w:line="560" w:lineRule="exact"/>
        <w:ind w:firstLine="643" w:firstLineChars="200"/>
        <w:jc w:val="center"/>
        <w:rPr>
          <w:rFonts w:asciiTheme="minorEastAsia" w:hAnsiTheme="minorEastAsia"/>
          <w:b/>
          <w:bCs/>
          <w:color w:val="000000"/>
          <w:kern w:val="0"/>
          <w:sz w:val="32"/>
          <w:szCs w:val="32"/>
        </w:rPr>
      </w:pPr>
      <w:r>
        <w:rPr>
          <w:rFonts w:hint="eastAsia" w:asciiTheme="minorEastAsia" w:hAnsiTheme="minorEastAsia"/>
          <w:b/>
          <w:bCs/>
          <w:color w:val="000000"/>
          <w:kern w:val="0"/>
          <w:sz w:val="32"/>
          <w:szCs w:val="32"/>
        </w:rPr>
        <w:t>内江师范学院学生考试违规处理办法（修订）</w:t>
      </w:r>
    </w:p>
    <w:p>
      <w:pPr>
        <w:widowControl/>
        <w:shd w:val="clear" w:color="auto" w:fill="FEFEFE"/>
        <w:spacing w:line="560" w:lineRule="exact"/>
        <w:ind w:firstLine="562" w:firstLineChars="200"/>
        <w:jc w:val="center"/>
        <w:rPr>
          <w:rFonts w:asciiTheme="minorEastAsia" w:hAnsiTheme="minorEastAsia"/>
          <w:b/>
          <w:bCs/>
          <w:color w:val="000000"/>
          <w:kern w:val="0"/>
          <w:sz w:val="28"/>
          <w:szCs w:val="28"/>
        </w:rPr>
      </w:pPr>
      <w:r>
        <w:rPr>
          <w:rFonts w:hint="eastAsia" w:asciiTheme="minorEastAsia" w:hAnsiTheme="minorEastAsia"/>
          <w:b/>
          <w:bCs/>
          <w:color w:val="000000"/>
          <w:kern w:val="0"/>
          <w:sz w:val="28"/>
          <w:szCs w:val="28"/>
        </w:rPr>
        <w:t>内师院发</w:t>
      </w:r>
      <w:r>
        <w:rPr>
          <w:rFonts w:hint="eastAsia" w:cs="宋体" w:asciiTheme="minorEastAsia" w:hAnsiTheme="minorEastAsia"/>
          <w:b/>
          <w:color w:val="000000"/>
          <w:kern w:val="0"/>
          <w:sz w:val="28"/>
          <w:szCs w:val="28"/>
        </w:rPr>
        <w:t>〔201</w:t>
      </w:r>
      <w:r>
        <w:rPr>
          <w:rFonts w:cs="宋体" w:asciiTheme="minorEastAsia" w:hAnsiTheme="minorEastAsia"/>
          <w:b/>
          <w:color w:val="000000"/>
          <w:kern w:val="0"/>
          <w:sz w:val="28"/>
          <w:szCs w:val="28"/>
        </w:rPr>
        <w:t>8</w:t>
      </w:r>
      <w:r>
        <w:rPr>
          <w:rFonts w:hint="eastAsia" w:cs="宋体" w:asciiTheme="minorEastAsia" w:hAnsiTheme="minorEastAsia"/>
          <w:b/>
          <w:color w:val="000000"/>
          <w:kern w:val="0"/>
          <w:sz w:val="28"/>
          <w:szCs w:val="28"/>
        </w:rPr>
        <w:t>〕</w:t>
      </w:r>
      <w:r>
        <w:rPr>
          <w:rFonts w:hint="eastAsia" w:asciiTheme="minorEastAsia" w:hAnsiTheme="minorEastAsia"/>
          <w:b/>
          <w:bCs/>
          <w:color w:val="000000"/>
          <w:kern w:val="0"/>
          <w:sz w:val="28"/>
          <w:szCs w:val="28"/>
        </w:rPr>
        <w:t>34号</w:t>
      </w:r>
    </w:p>
    <w:p>
      <w:pPr>
        <w:widowControl/>
        <w:shd w:val="clear" w:color="auto" w:fill="FEFEFE"/>
        <w:spacing w:line="560" w:lineRule="exact"/>
        <w:ind w:firstLine="422" w:firstLineChars="200"/>
        <w:jc w:val="left"/>
        <w:rPr>
          <w:rFonts w:asciiTheme="minorEastAsia" w:hAnsiTheme="minorEastAsia"/>
          <w:b/>
          <w:bCs/>
          <w:color w:val="000000"/>
          <w:kern w:val="0"/>
          <w:szCs w:val="32"/>
        </w:rPr>
      </w:pPr>
    </w:p>
    <w:p>
      <w:pPr>
        <w:widowControl/>
        <w:shd w:val="clear" w:color="auto" w:fill="FEFEFE"/>
        <w:spacing w:before="156" w:beforeLines="50" w:after="156" w:afterLines="50" w:line="360" w:lineRule="auto"/>
        <w:ind w:firstLine="482" w:firstLineChars="200"/>
        <w:jc w:val="center"/>
        <w:rPr>
          <w:rFonts w:cs="黑体" w:asciiTheme="minorEastAsia" w:hAnsiTheme="minorEastAsia"/>
          <w:b/>
          <w:bCs/>
          <w:kern w:val="0"/>
          <w:sz w:val="24"/>
          <w:szCs w:val="24"/>
        </w:rPr>
      </w:pPr>
      <w:r>
        <w:rPr>
          <w:rFonts w:hint="eastAsia" w:cs="黑体" w:asciiTheme="minorEastAsia" w:hAnsiTheme="minorEastAsia"/>
          <w:b/>
          <w:bCs/>
          <w:kern w:val="0"/>
          <w:sz w:val="24"/>
          <w:szCs w:val="24"/>
        </w:rPr>
        <w:t>第一章</w:t>
      </w:r>
      <w:r>
        <w:rPr>
          <w:rFonts w:cs="黑体" w:asciiTheme="minorEastAsia" w:hAnsiTheme="minorEastAsia"/>
          <w:b/>
          <w:bCs/>
          <w:kern w:val="0"/>
          <w:sz w:val="24"/>
          <w:szCs w:val="24"/>
        </w:rPr>
        <w:t xml:space="preserve"> </w:t>
      </w:r>
      <w:r>
        <w:rPr>
          <w:rFonts w:hint="eastAsia" w:cs="黑体" w:asciiTheme="minorEastAsia" w:hAnsiTheme="minorEastAsia"/>
          <w:b/>
          <w:bCs/>
          <w:kern w:val="0"/>
          <w:sz w:val="24"/>
          <w:szCs w:val="24"/>
        </w:rPr>
        <w:t>总则</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 xml:space="preserve">第一条 为严肃考风考纪，规范考试违规行为的处理程序，维护学生的合法权益，根据《中华人民共和国教育法》、《普通高等学校学生管理规定》（教育部令第41号）、《国家教育考试违规处理办法》（教育部令第33号），结合学校实际情况，制订本办法。 </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第二条 学校坚持以立德树人为根本，加强诚信教育、法律法规和纪律教育，对违规学生的处理坚持以教育与惩戒相结合的原则。</w:t>
      </w:r>
    </w:p>
    <w:p>
      <w:pPr>
        <w:widowControl/>
        <w:shd w:val="clear" w:color="auto" w:fill="FEFEFE"/>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第三条 学生参加考试，应当遵循诚实守信、公平竞争的原则，遵守考试纪律。考生必须在规定时间到达考场，保持考场肃静，服从监考教师的指令、监督和劝告。</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第四条 学生考试违规的纪律处分种类根据违纪或者作弊情节轻重分为五种：警告、严重警告、记过、留校察看和开除学籍。</w:t>
      </w:r>
    </w:p>
    <w:p>
      <w:pPr>
        <w:widowControl/>
        <w:shd w:val="clear" w:color="auto" w:fill="FEFEFE"/>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第五条 本办法适用于由本校组织或承办，全日制本、专科学生参加的各类校内考核和社会考试。</w:t>
      </w:r>
    </w:p>
    <w:p>
      <w:pPr>
        <w:widowControl/>
        <w:shd w:val="clear" w:color="auto" w:fill="FEFEFE"/>
        <w:spacing w:before="156" w:beforeLines="50" w:after="156" w:afterLines="50" w:line="360" w:lineRule="auto"/>
        <w:ind w:firstLine="482" w:firstLineChars="200"/>
        <w:jc w:val="center"/>
        <w:rPr>
          <w:rFonts w:cs="黑体" w:asciiTheme="minorEastAsia" w:hAnsiTheme="minorEastAsia"/>
          <w:b/>
          <w:kern w:val="0"/>
          <w:sz w:val="24"/>
          <w:szCs w:val="24"/>
        </w:rPr>
      </w:pPr>
      <w:r>
        <w:rPr>
          <w:rFonts w:hint="eastAsia" w:cs="黑体" w:asciiTheme="minorEastAsia" w:hAnsiTheme="minorEastAsia"/>
          <w:b/>
          <w:kern w:val="0"/>
          <w:sz w:val="24"/>
          <w:szCs w:val="24"/>
        </w:rPr>
        <w:t>第二章 考试违规行为的认定和处理</w:t>
      </w:r>
    </w:p>
    <w:p>
      <w:pPr>
        <w:widowControl/>
        <w:shd w:val="clear" w:color="auto" w:fill="FEFEFE"/>
        <w:spacing w:line="360" w:lineRule="auto"/>
        <w:ind w:firstLine="532" w:firstLineChars="222"/>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第六条 考生不遵守考场纪律，不服从考试工作人员的安排与要求，有下列行为之一的，应当认定为考试违纪，给予警告处分;情节严重的，给予严重警告处分：</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（一）携带规定以外的物品进入考场或者未放在指定位置的；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（二）未在规定的座位参加考试的；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（三）考试开始信号发出前答题或者考试结束信号发出后继续答题的；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（四）在考试过程中旁窥、交头接耳、互打暗号或者手势的；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（五）在考场禁止的范围内喧哗、吸烟或者实施其它影响考场秩序的行为的；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（六）未经考试工作人员同意在考试过程中擅自离开考场的；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（七）其他不服从监考人员的安排与要求的。</w:t>
      </w:r>
    </w:p>
    <w:p>
      <w:pPr>
        <w:widowControl/>
        <w:shd w:val="clear" w:color="auto" w:fill="FFFFFF"/>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第七条 考生有下列行为之一的，应当认定为考试违纪，给予严重警告处分：</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（一）擅自将试卷、答卷（含答题卡、答题纸等，下同）、草稿纸等考试用纸带出考场的；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（二）用规定以外的笔或者纸答题或者在试卷规定以外的地方书写姓名、考号或者以其它方式在答卷上标记信息的；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（三）将与考试内容相关的资料放在考生所在座位周边（含桌椅、地面等）的；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（四）拒绝、妨碍考试工作人员履行职责的；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（五）威胁、侮辱、诽谤、诬陷或者以其他方式侵害考试工作人员或者其他考生，或者有其他类似行为的；</w:t>
      </w:r>
    </w:p>
    <w:p>
      <w:pPr>
        <w:widowControl/>
        <w:shd w:val="clear" w:color="auto" w:fill="FEFEFE"/>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（六）其他严重违纪行为尚未构成作弊行为的。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第八条 考生违背考试公平公正原则，以不正当手段获得或者试图获得试题答案、考试成绩，有下列行为之一的，应当认定为考试作弊，给予记过处分；情节严重的，给予留校察看处分：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（一）闭卷考核中，携带与考试内容相关的材料</w:t>
      </w:r>
      <w:r>
        <w:rPr>
          <w:rFonts w:hint="eastAsia" w:asciiTheme="minorEastAsia" w:hAnsiTheme="minorEastAsia"/>
          <w:bCs/>
          <w:kern w:val="0"/>
          <w:sz w:val="24"/>
          <w:szCs w:val="24"/>
        </w:rPr>
        <w:t>或者存储有与考试内容相关资料的电子设备参加考试</w:t>
      </w:r>
      <w:r>
        <w:rPr>
          <w:rFonts w:hint="eastAsia" w:asciiTheme="minorEastAsia" w:hAnsiTheme="minorEastAsia"/>
          <w:bCs/>
          <w:color w:val="000000"/>
          <w:kern w:val="0"/>
          <w:sz w:val="24"/>
          <w:szCs w:val="24"/>
        </w:rPr>
        <w:t>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（二）开卷考核中, 携带禁止的资料或者工具的；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（三）抄袭或者协助他人抄袭试题答案或者与考试内容相关的资料的；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（四）传、接物品或者交换试卷、答卷、草稿纸的;</w:t>
      </w:r>
    </w:p>
    <w:p>
      <w:pPr>
        <w:widowControl/>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sz w:val="24"/>
          <w:szCs w:val="24"/>
        </w:rPr>
        <w:t>（</w:t>
      </w:r>
      <w:r>
        <w:rPr>
          <w:rFonts w:hint="eastAsia" w:asciiTheme="minorEastAsia" w:hAnsiTheme="minorEastAsia"/>
          <w:bCs/>
          <w:color w:val="000000"/>
          <w:kern w:val="0"/>
          <w:sz w:val="24"/>
          <w:szCs w:val="24"/>
        </w:rPr>
        <w:t>五）将与考试内容相关的文字写在身体任意部位或穿戴衣物上的;</w:t>
      </w:r>
    </w:p>
    <w:p>
      <w:pPr>
        <w:widowControl/>
        <w:shd w:val="clear" w:color="auto" w:fill="FFFFFF"/>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（六）评卷过程中主观题被认定为答案雷同而被认定为抄袭的;</w:t>
      </w:r>
    </w:p>
    <w:p>
      <w:pPr>
        <w:widowControl/>
        <w:shd w:val="clear" w:color="auto" w:fill="FFFFFF"/>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（七）有其他相当作弊行为的。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第九条 考生有下列行为之一的，应当认定为考试较严重作弊，给予留校察看处分：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（一）携带并使用具有发送或者接收信息功能的设备的；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（二）抢夺、窃取他人试卷、答卷或者胁迫他人为自己抄袭提供方便的；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（三）故意销毁试卷、答卷或者考试材料的；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（四）在答卷上填写与本人身份不符的姓名、考号等信息,</w:t>
      </w:r>
      <w:r>
        <w:rPr>
          <w:rFonts w:asciiTheme="minorEastAsia" w:hAnsiTheme="minorEastAsia"/>
          <w:bCs/>
          <w:color w:val="000000"/>
          <w:kern w:val="0"/>
          <w:sz w:val="24"/>
          <w:szCs w:val="24"/>
        </w:rPr>
        <w:t xml:space="preserve"> 但</w:t>
      </w:r>
      <w:r>
        <w:rPr>
          <w:rFonts w:hint="eastAsia" w:asciiTheme="minorEastAsia" w:hAnsiTheme="minorEastAsia"/>
          <w:bCs/>
          <w:color w:val="000000"/>
          <w:kern w:val="0"/>
          <w:sz w:val="24"/>
          <w:szCs w:val="24"/>
        </w:rPr>
        <w:t>未被认定为代考或者替考的；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（五）考试中借故离开考场，在考场外查看与考试有关的材料，或者携带与考试有关材料回到考场；</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（六）有其他相当较严重作弊行为的。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第十条 考生</w:t>
      </w:r>
      <w:bookmarkStart w:id="50" w:name="OLE_LINK16"/>
      <w:bookmarkStart w:id="51" w:name="OLE_LINK15"/>
      <w:r>
        <w:rPr>
          <w:rFonts w:hint="eastAsia" w:asciiTheme="minorEastAsia" w:hAnsiTheme="minorEastAsia"/>
          <w:bCs/>
          <w:color w:val="000000"/>
          <w:kern w:val="0"/>
          <w:sz w:val="24"/>
          <w:szCs w:val="24"/>
        </w:rPr>
        <w:t>有下列行为之一的</w:t>
      </w:r>
      <w:bookmarkEnd w:id="50"/>
      <w:bookmarkEnd w:id="51"/>
      <w:r>
        <w:rPr>
          <w:rFonts w:hint="eastAsia" w:asciiTheme="minorEastAsia" w:hAnsiTheme="minorEastAsia"/>
          <w:bCs/>
          <w:color w:val="000000"/>
          <w:kern w:val="0"/>
          <w:sz w:val="24"/>
          <w:szCs w:val="24"/>
        </w:rPr>
        <w:t>，应当认定为考试严重作弊，给予留校察看处分，情节严重的，给予开除学籍处分。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（一）组织作弊的；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（二）向考场外发送、传递试题信息的；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（三）使用通讯设备或其他器材作弊，情节严重的；</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 xml:space="preserve">（四）为作弊组织者提供试题信息、答案及相应设备等参与团伙作弊行为的； </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（五）在校期间再次考试作弊者。</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（六）其他应给予开除学籍处分的严重作弊行为。</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第十一条 代替他人或由他人代替参加考试的，属考试作弊行为，根据以下不同情形给予纪律处分：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（一）考试结束前，能主动终止其替考行为的，替考者和被替考者给予警告处分；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（二）考试过程中未被发现，考试结束后能主动承认其替考行为的，给予留校察看处分；</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（三）未主动承认替考行为而被发现，替考者和被替考者都给予开除学籍处分。</w:t>
      </w:r>
    </w:p>
    <w:p>
      <w:pPr>
        <w:spacing w:line="360" w:lineRule="auto"/>
        <w:ind w:firstLine="480" w:firstLineChars="200"/>
        <w:rPr>
          <w:rFonts w:cs="黑体" w:asciiTheme="minorEastAsia" w:hAnsiTheme="minorEastAsia"/>
          <w:bCs/>
          <w:kern w:val="0"/>
          <w:sz w:val="24"/>
          <w:szCs w:val="24"/>
        </w:rPr>
      </w:pPr>
      <w:r>
        <w:rPr>
          <w:rFonts w:hint="eastAsia" w:asciiTheme="minorEastAsia" w:hAnsiTheme="minorEastAsia"/>
          <w:bCs/>
          <w:color w:val="000000"/>
          <w:kern w:val="0"/>
          <w:sz w:val="24"/>
          <w:szCs w:val="24"/>
        </w:rPr>
        <w:t>（四）凡具有我校学籍的学生到校外代替他人参加考试的，给予开除学籍处分。</w:t>
      </w:r>
    </w:p>
    <w:p>
      <w:pPr>
        <w:widowControl/>
        <w:shd w:val="clear" w:color="auto" w:fill="FEFEFE"/>
        <w:spacing w:before="156" w:beforeLines="50" w:after="156" w:afterLines="50" w:line="360" w:lineRule="auto"/>
        <w:ind w:firstLine="482" w:firstLineChars="200"/>
        <w:jc w:val="center"/>
        <w:rPr>
          <w:rFonts w:asciiTheme="minorEastAsia" w:hAnsiTheme="minorEastAsia"/>
          <w:b/>
          <w:bCs/>
          <w:color w:val="000000"/>
          <w:kern w:val="0"/>
          <w:sz w:val="24"/>
          <w:szCs w:val="24"/>
        </w:rPr>
      </w:pPr>
      <w:r>
        <w:rPr>
          <w:rFonts w:hint="eastAsia" w:cs="黑体" w:asciiTheme="minorEastAsia" w:hAnsiTheme="minorEastAsia"/>
          <w:b/>
          <w:bCs/>
          <w:kern w:val="0"/>
          <w:sz w:val="24"/>
          <w:szCs w:val="24"/>
        </w:rPr>
        <w:t>第三章  违规行为的处理程序</w:t>
      </w:r>
    </w:p>
    <w:p>
      <w:pPr>
        <w:widowControl/>
        <w:shd w:val="clear" w:color="auto" w:fill="FEFEFE"/>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第十二条 考试违规的考生，应当取消考试资格，令其退出考场，该课程考核成绩以“0”分记，并给予相应的纪律处分。</w:t>
      </w:r>
    </w:p>
    <w:p>
      <w:pPr>
        <w:widowControl/>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第十三条 发生考生违规行为的，应按照如下程序进行处理：</w:t>
      </w:r>
    </w:p>
    <w:p>
      <w:pPr>
        <w:widowControl/>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一）在考试过程中，发生考生违规行为的，考试工作人员制止其继续参加考试，收回其试卷，在试卷上注明“考试违规”，并责令其退场。考试工作人员将考试违规者的姓名、学号、违规事实等主要情况在《内江师范学院考场情况登记表》和《内江师范学院考核异常情况说明》中详细记录，由2名及以上考试工作人员签字确认。对考生用于考试违规的材料、工具等，应予暂扣，作为认定考生违规事实的依据。在考试结束后考试工作人员将上述材料及考生考试违规物证、旁证材料等于当天及时送交学生所在二级学院。</w:t>
      </w:r>
    </w:p>
    <w:p>
      <w:pPr>
        <w:widowControl/>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 xml:space="preserve">（二）二级学院在学生违规行为发生后5个工作日内，对考生的违规行为进行调查，依据本办法，提出初步处理意见。在对学生作出处分或者其他不利决定之前，首先应当告知学生作出决定的事实、理由及依据，并告知学生享有陈述和申辩的权利，听取学生的陈述和申辩，并填写《内江师范学院学生拟受处分前谈话记录》和《内江师范学院学生违规行为处分审批表》。将相关材料、谈话记录、考生违规物证、旁证材料、视频截图、学生的书面认识等所有材料送交教务处。 </w:t>
      </w:r>
    </w:p>
    <w:p>
      <w:pPr>
        <w:widowControl/>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三）教务处在审核考生考试违规材料后，依据本办法，在15个工作日内，对学生考试违规行为草拟处分决定书，报分管校领导签发。处分决定书应当包括：学生的基本信息；作出处分的事实和证据；处分的种类、依据、期限；申诉的途径和期限；其他必要内容。情况复杂不能在规定限期内做出结论意见的，经分管校领导批准，可延长15个工作日。对学生作出留校察看及以上处分的，须报校长办公会议研究决定，并应当事先进行合法性审查。对学生作出开除学籍处分决定的，报四川省教育厅备案。</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第十四条 处分决定书应当直接送达学生本人，学生拒绝签收的，可以以留置方式送达；已离校的，可以采取邮寄方式送达；难于联系的，可以利用学校网站、新闻媒体等以公告方式送达。</w:t>
      </w:r>
    </w:p>
    <w:p>
      <w:pPr>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第十五条 学生考试违规的处分期限、处分解除等，按照《内江师范学院学生违纪处分实施办法（修订）》（内师院发〔2017〕92号）执行。</w:t>
      </w:r>
    </w:p>
    <w:p>
      <w:pPr>
        <w:autoSpaceDE w:val="0"/>
        <w:autoSpaceDN w:val="0"/>
        <w:adjustRightInd w:val="0"/>
        <w:spacing w:line="360" w:lineRule="auto"/>
        <w:ind w:firstLine="532" w:firstLineChars="222"/>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第十六条 学校给予学生处分，应当坚持教育与惩戒相结合，与学生违规行为的性质和过错的严重程度相适应。学校对学生的处分，应当做到证据充分、依据明确、定性准确、程序正当、处分适当。受处分学生可以申辩和陈述，并可以提出申诉，具体程序按照《内江师范学院学生申诉处理办法（修订）》（内师院发文号〔2017〕91号）执行。</w:t>
      </w:r>
    </w:p>
    <w:p>
      <w:pPr>
        <w:widowControl/>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第十七条 在考试结束后，通过视频录像回放，对所涉及考生的违规行为应参照本办法认定和处理。</w:t>
      </w:r>
    </w:p>
    <w:p>
      <w:pPr>
        <w:autoSpaceDE w:val="0"/>
        <w:autoSpaceDN w:val="0"/>
        <w:adjustRightInd w:val="0"/>
        <w:spacing w:line="360" w:lineRule="auto"/>
        <w:ind w:firstLine="480" w:firstLineChars="200"/>
        <w:jc w:val="left"/>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第十八条 考生以作弊行为获得考试成绩并由此取得相应的学位证书、学历证书及其他学业证书、资格资质证书，由证书颁发机关宣布证书无效，责令收回证书或者予以没收。</w:t>
      </w:r>
    </w:p>
    <w:p>
      <w:pPr>
        <w:widowControl/>
        <w:shd w:val="clear" w:color="auto" w:fill="FEFEFE"/>
        <w:spacing w:before="156" w:beforeLines="50" w:after="156" w:afterLines="50" w:line="360" w:lineRule="auto"/>
        <w:ind w:firstLine="482" w:firstLineChars="200"/>
        <w:jc w:val="center"/>
        <w:rPr>
          <w:rFonts w:cs="黑体" w:asciiTheme="minorEastAsia" w:hAnsiTheme="minorEastAsia"/>
          <w:b/>
          <w:bCs/>
          <w:kern w:val="0"/>
          <w:sz w:val="24"/>
          <w:szCs w:val="24"/>
        </w:rPr>
      </w:pPr>
      <w:r>
        <w:rPr>
          <w:rFonts w:hint="eastAsia" w:cs="黑体" w:asciiTheme="minorEastAsia" w:hAnsiTheme="minorEastAsia"/>
          <w:b/>
          <w:bCs/>
          <w:kern w:val="0"/>
          <w:sz w:val="24"/>
          <w:szCs w:val="24"/>
        </w:rPr>
        <w:t>第四章 附则</w:t>
      </w:r>
    </w:p>
    <w:p>
      <w:pPr>
        <w:widowControl/>
        <w:shd w:val="clear" w:color="auto" w:fill="FEFEFE"/>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第十九条 本办法未规定的，适用《中华人民共和国教育法》和《国家教育考试违规处理办法》（教育部令第33号）有关规定。</w:t>
      </w:r>
    </w:p>
    <w:p>
      <w:pPr>
        <w:widowControl/>
        <w:shd w:val="clear" w:color="auto" w:fill="FEFEFE"/>
        <w:spacing w:line="360" w:lineRule="auto"/>
        <w:ind w:firstLine="480" w:firstLineChars="200"/>
        <w:rPr>
          <w:rFonts w:asciiTheme="minorEastAsia" w:hAnsiTheme="minorEastAsia"/>
          <w:bCs/>
          <w:color w:val="000000"/>
          <w:kern w:val="0"/>
          <w:sz w:val="24"/>
          <w:szCs w:val="24"/>
        </w:rPr>
      </w:pPr>
      <w:r>
        <w:rPr>
          <w:rFonts w:hint="eastAsia" w:asciiTheme="minorEastAsia" w:hAnsiTheme="minorEastAsia"/>
          <w:bCs/>
          <w:color w:val="000000"/>
          <w:kern w:val="0"/>
          <w:sz w:val="24"/>
          <w:szCs w:val="24"/>
        </w:rPr>
        <w:t>第二十条 本办法自发文之日起执行，由教务处负责解释。原《内江师范学院学生考试违规处理办法》（内师院发〔2012〕44号）文同时废止。此前与本办法不一致的，以本办法为准。</w:t>
      </w:r>
    </w:p>
    <w:p>
      <w:pPr>
        <w:spacing w:line="360" w:lineRule="auto"/>
        <w:ind w:left="3574" w:hanging="3573" w:hangingChars="1489"/>
        <w:jc w:val="right"/>
        <w:rPr>
          <w:rFonts w:asciiTheme="minorEastAsia" w:hAnsiTheme="minorEastAsia"/>
          <w:bCs/>
          <w:sz w:val="24"/>
          <w:szCs w:val="24"/>
        </w:rPr>
      </w:pPr>
    </w:p>
    <w:p>
      <w:pPr>
        <w:spacing w:line="360" w:lineRule="auto"/>
        <w:jc w:val="right"/>
        <w:rPr>
          <w:rFonts w:asciiTheme="minorEastAsia" w:hAnsiTheme="minorEastAsia"/>
          <w:sz w:val="24"/>
          <w:szCs w:val="24"/>
        </w:rPr>
      </w:pPr>
      <w:r>
        <w:rPr>
          <w:rFonts w:hint="eastAsia" w:asciiTheme="minorEastAsia" w:hAnsiTheme="minorEastAsia"/>
          <w:bCs/>
          <w:sz w:val="24"/>
          <w:szCs w:val="24"/>
        </w:rPr>
        <w:t xml:space="preserve">                           2018年4月2日</w:t>
      </w: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内江师范学院学生缓考规定</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内师教字〔2014〕76号</w:t>
      </w:r>
    </w:p>
    <w:p>
      <w:pPr>
        <w:spacing w:line="560" w:lineRule="exact"/>
        <w:ind w:firstLine="420" w:firstLineChars="200"/>
        <w:rPr>
          <w:rFonts w:ascii="方正仿宋简体" w:hAnsi="黑体" w:eastAsia="方正仿宋简体"/>
          <w:szCs w:val="32"/>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为规范考试管理，严格考试纪律，现对我校学生申请缓考的条件、程序等作如下规定：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一、申请缓考的条件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因病：因病申请缓考须持有学校医务室（卫生防疫科）或二级以上医院的病假单。无病假单、病情诊断书，不予办理缓考手续。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因事：因事缓考是指在考试期间，学生确有紧要事项须由本人亲自处理，不能参加考试的情况。因事缓考原则上须由学生本人提出缓考申请。</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二、申请缓考的程序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填写缓考申请表:申请缓考的学生首先到二级学院领取并填写《内江师范学院学生缓考申请表》，申请专业课缓考的填写一份；申请跨专业课程、通识课程缓考的一式两份。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二级学院审批：学生填写缓考申请表后，附上申请所需的证明材料，先由学生所在班级班主任签署意见，再经二级学院教学院长审批签字。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开课院（部）审批：若申请缓考课程是跨专业课程、通识课程，须在以上两个程序完成后，持一式两份申请表到该门课程开课院（部）请该院（部）领导审批签字。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缓考备案：缓考申请表审批程序结束后，一式一份申请表的，学生将其交所在学院的教学科研办公室备案；一式两份申请表的，学生将一份交所在学院教学科研办公室备案，一份交开课院（部）教学科研办公室（或办公室）备案。</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三、缓考时间及要求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申请缓考须至少在开考2日前书面申请。申请缓考的学生于下学期规定时间参加考试，缓考成绩不合格者须重修。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凡考试前未申请缓考或申请缓考未被批准而擅自不参加考试者，以旷考论处。凡旷考的学生，该次课程考核成绩以“0”分记，并计入该课程总成绩的评定。在旷考学生认识错误之后，经本人申请，二级学院同意、教务处批准，并办理相应手续后，可参加该课程重修。同一门课程不得提出两次缓考申请。</w:t>
      </w:r>
    </w:p>
    <w:p>
      <w:pPr>
        <w:pStyle w:val="6"/>
        <w:spacing w:line="360" w:lineRule="auto"/>
        <w:ind w:firstLine="482"/>
        <w:jc w:val="both"/>
        <w:rPr>
          <w:rFonts w:asciiTheme="minorEastAsia" w:hAnsiTheme="minorEastAsia" w:eastAsiaTheme="minorEastAsia"/>
          <w:b/>
          <w:sz w:val="24"/>
        </w:rPr>
      </w:pPr>
      <w:r>
        <w:rPr>
          <w:rFonts w:hint="eastAsia" w:asciiTheme="minorEastAsia" w:hAnsiTheme="minorEastAsia" w:eastAsiaTheme="minorEastAsia"/>
          <w:b/>
          <w:sz w:val="24"/>
        </w:rPr>
        <w:t>四、本规定从发文之日起执行，由教务处负责解释。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w:t>
      </w:r>
      <w:r>
        <w:rPr>
          <w:rFonts w:hint="eastAsia" w:asciiTheme="minorEastAsia" w:hAnsiTheme="minorEastAsia"/>
          <w:color w:val="000000"/>
          <w:sz w:val="24"/>
          <w:szCs w:val="24"/>
        </w:rPr>
        <w:t>内江师范学院学生缓考申请表</w:t>
      </w:r>
    </w:p>
    <w:p>
      <w:pPr>
        <w:spacing w:line="360" w:lineRule="auto"/>
        <w:ind w:right="960"/>
        <w:jc w:val="right"/>
        <w:rPr>
          <w:rFonts w:asciiTheme="minorEastAsia" w:hAnsiTheme="minorEastAsia"/>
          <w:sz w:val="24"/>
          <w:szCs w:val="24"/>
        </w:rPr>
      </w:pPr>
      <w:r>
        <w:rPr>
          <w:rFonts w:hint="eastAsia" w:asciiTheme="minorEastAsia" w:hAnsiTheme="minorEastAsia"/>
          <w:sz w:val="24"/>
          <w:szCs w:val="24"/>
        </w:rPr>
        <w:t>2014年6月27日</w:t>
      </w:r>
    </w:p>
    <w:p>
      <w:pPr>
        <w:jc w:val="left"/>
        <w:rPr>
          <w:rFonts w:asciiTheme="minorEastAsia" w:hAnsiTheme="minorEastAsia"/>
          <w:b/>
          <w:color w:val="000000"/>
          <w:sz w:val="28"/>
          <w:szCs w:val="28"/>
        </w:rPr>
      </w:pPr>
      <w:r>
        <w:rPr>
          <w:rFonts w:asciiTheme="minorEastAsia" w:hAnsiTheme="minorEastAsia"/>
          <w:b/>
          <w:color w:val="000000"/>
          <w:sz w:val="28"/>
          <w:szCs w:val="28"/>
        </w:rPr>
        <w:t>附件</w:t>
      </w:r>
    </w:p>
    <w:p>
      <w:pPr>
        <w:jc w:val="center"/>
        <w:rPr>
          <w:rFonts w:ascii="黑体" w:hAnsi="宋体" w:eastAsia="黑体"/>
          <w:b/>
          <w:color w:val="000000"/>
          <w:sz w:val="32"/>
          <w:szCs w:val="32"/>
        </w:rPr>
      </w:pPr>
      <w:r>
        <w:rPr>
          <w:rFonts w:hint="eastAsia" w:ascii="黑体" w:hAnsi="宋体" w:eastAsia="黑体"/>
          <w:b/>
          <w:color w:val="000000"/>
          <w:sz w:val="32"/>
          <w:szCs w:val="32"/>
        </w:rPr>
        <w:t>内江师范学院学生缓考申请表</w:t>
      </w:r>
    </w:p>
    <w:p>
      <w:pPr>
        <w:jc w:val="center"/>
        <w:rPr>
          <w:rFonts w:ascii="宋体" w:hAnsi="宋体"/>
          <w:b/>
          <w:color w:val="000000"/>
          <w:sz w:val="28"/>
          <w:szCs w:val="28"/>
        </w:rPr>
      </w:pPr>
      <w:r>
        <w:rPr>
          <w:rFonts w:hint="eastAsia" w:ascii="宋体" w:hAnsi="宋体"/>
          <w:b/>
          <w:color w:val="000000"/>
          <w:sz w:val="28"/>
          <w:szCs w:val="28"/>
        </w:rPr>
        <w:t xml:space="preserve">（20   </w:t>
      </w:r>
      <w:r>
        <w:rPr>
          <w:rFonts w:ascii="宋体" w:hAnsi="宋体"/>
          <w:b/>
          <w:color w:val="000000"/>
          <w:sz w:val="28"/>
          <w:szCs w:val="28"/>
        </w:rPr>
        <w:t>—20</w:t>
      </w:r>
      <w:r>
        <w:rPr>
          <w:rFonts w:hint="eastAsia" w:ascii="宋体" w:hAnsi="宋体"/>
          <w:b/>
          <w:color w:val="000000"/>
          <w:sz w:val="28"/>
          <w:szCs w:val="28"/>
        </w:rPr>
        <w:t xml:space="preserve">   </w:t>
      </w:r>
      <w:r>
        <w:rPr>
          <w:rFonts w:ascii="宋体" w:hAnsi="宋体"/>
          <w:b/>
          <w:color w:val="000000"/>
          <w:sz w:val="28"/>
          <w:szCs w:val="28"/>
        </w:rPr>
        <w:t>学年  第  学期</w:t>
      </w:r>
      <w:r>
        <w:rPr>
          <w:rFonts w:hint="eastAsia" w:ascii="宋体" w:hAnsi="宋体"/>
          <w:b/>
          <w:color w:val="000000"/>
          <w:sz w:val="28"/>
          <w:szCs w:val="28"/>
        </w:rPr>
        <w:t>）</w:t>
      </w:r>
    </w:p>
    <w:tbl>
      <w:tblPr>
        <w:tblStyle w:val="15"/>
        <w:tblW w:w="9211" w:type="dxa"/>
        <w:jc w:val="center"/>
        <w:tblInd w:w="0" w:type="dxa"/>
        <w:tblLayout w:type="fixed"/>
        <w:tblCellMar>
          <w:top w:w="0" w:type="dxa"/>
          <w:left w:w="0" w:type="dxa"/>
          <w:bottom w:w="0" w:type="dxa"/>
          <w:right w:w="0" w:type="dxa"/>
        </w:tblCellMar>
      </w:tblPr>
      <w:tblGrid>
        <w:gridCol w:w="1300"/>
        <w:gridCol w:w="1847"/>
        <w:gridCol w:w="1134"/>
        <w:gridCol w:w="1656"/>
        <w:gridCol w:w="922"/>
        <w:gridCol w:w="2352"/>
      </w:tblGrid>
      <w:tr>
        <w:tblPrEx>
          <w:tblLayout w:type="fixed"/>
          <w:tblCellMar>
            <w:top w:w="0" w:type="dxa"/>
            <w:left w:w="0" w:type="dxa"/>
            <w:bottom w:w="0" w:type="dxa"/>
            <w:right w:w="0" w:type="dxa"/>
          </w:tblCellMar>
        </w:tblPrEx>
        <w:trPr>
          <w:trHeight w:val="465"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学  号</w:t>
            </w:r>
          </w:p>
        </w:tc>
        <w:tc>
          <w:tcPr>
            <w:tcW w:w="1847" w:type="dxa"/>
            <w:tcBorders>
              <w:top w:val="single" w:color="auto" w:sz="8" w:space="0"/>
              <w:left w:val="single" w:color="auto" w:sz="8" w:space="0"/>
              <w:bottom w:val="single" w:color="auto" w:sz="8" w:space="0"/>
              <w:right w:val="single" w:color="auto" w:sz="8" w:space="0"/>
            </w:tcBorders>
          </w:tcPr>
          <w:p>
            <w:pPr>
              <w:autoSpaceDE w:val="0"/>
              <w:autoSpaceDN w:val="0"/>
              <w:rPr>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姓  名</w:t>
            </w:r>
          </w:p>
        </w:tc>
        <w:tc>
          <w:tcPr>
            <w:tcW w:w="165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Cs w:val="21"/>
              </w:rPr>
            </w:pPr>
          </w:p>
        </w:tc>
        <w:tc>
          <w:tcPr>
            <w:tcW w:w="92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班  级</w:t>
            </w:r>
          </w:p>
        </w:tc>
        <w:tc>
          <w:tcPr>
            <w:tcW w:w="235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Cs w:val="21"/>
              </w:rPr>
            </w:pPr>
          </w:p>
        </w:tc>
      </w:tr>
      <w:tr>
        <w:tblPrEx>
          <w:tblLayout w:type="fixed"/>
          <w:tblCellMar>
            <w:top w:w="0" w:type="dxa"/>
            <w:left w:w="0" w:type="dxa"/>
            <w:bottom w:w="0" w:type="dxa"/>
            <w:right w:w="0" w:type="dxa"/>
          </w:tblCellMar>
        </w:tblPrEx>
        <w:trPr>
          <w:trHeight w:val="465"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专  业</w:t>
            </w:r>
          </w:p>
        </w:tc>
        <w:tc>
          <w:tcPr>
            <w:tcW w:w="2981" w:type="dxa"/>
            <w:gridSpan w:val="2"/>
            <w:tcBorders>
              <w:top w:val="single" w:color="auto" w:sz="8" w:space="0"/>
              <w:left w:val="single" w:color="auto" w:sz="8" w:space="0"/>
              <w:bottom w:val="single" w:color="auto" w:sz="8" w:space="0"/>
              <w:right w:val="single" w:color="auto" w:sz="8" w:space="0"/>
            </w:tcBorders>
          </w:tcPr>
          <w:p>
            <w:pPr>
              <w:autoSpaceDE w:val="0"/>
              <w:autoSpaceDN w:val="0"/>
              <w:jc w:val="center"/>
              <w:rPr>
                <w:rFonts w:asci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Cs w:val="21"/>
              </w:rPr>
            </w:pPr>
            <w:r>
              <w:rPr>
                <w:rFonts w:hint="eastAsia" w:ascii="宋体" w:cs="宋体"/>
                <w:color w:val="000000"/>
                <w:kern w:val="0"/>
                <w:szCs w:val="21"/>
              </w:rPr>
              <w:t>缓考科目</w:t>
            </w:r>
          </w:p>
        </w:tc>
        <w:tc>
          <w:tcPr>
            <w:tcW w:w="327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Cs w:val="21"/>
              </w:rPr>
            </w:pPr>
          </w:p>
        </w:tc>
      </w:tr>
      <w:tr>
        <w:tblPrEx>
          <w:tblLayout w:type="fixed"/>
          <w:tblCellMar>
            <w:top w:w="0" w:type="dxa"/>
            <w:left w:w="0" w:type="dxa"/>
            <w:bottom w:w="0" w:type="dxa"/>
            <w:right w:w="0" w:type="dxa"/>
          </w:tblCellMar>
        </w:tblPrEx>
        <w:trPr>
          <w:trHeight w:val="465"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任课教师</w:t>
            </w:r>
          </w:p>
        </w:tc>
        <w:tc>
          <w:tcPr>
            <w:tcW w:w="2981" w:type="dxa"/>
            <w:gridSpan w:val="2"/>
            <w:tcBorders>
              <w:top w:val="single" w:color="auto" w:sz="8" w:space="0"/>
              <w:left w:val="single" w:color="auto" w:sz="8" w:space="0"/>
              <w:bottom w:val="single" w:color="auto" w:sz="8" w:space="0"/>
              <w:right w:val="single" w:color="auto" w:sz="8" w:space="0"/>
            </w:tcBorders>
          </w:tcPr>
          <w:p>
            <w:pPr>
              <w:autoSpaceDE w:val="0"/>
              <w:autoSpaceDN w:val="0"/>
              <w:jc w:val="center"/>
              <w:rPr>
                <w:rFonts w:ascii="宋体" w:cs="宋体"/>
                <w:color w:val="000000"/>
                <w:kern w:val="0"/>
                <w:szCs w:val="21"/>
              </w:rPr>
            </w:pPr>
          </w:p>
        </w:tc>
        <w:tc>
          <w:tcPr>
            <w:tcW w:w="165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kern w:val="0"/>
                <w:szCs w:val="21"/>
              </w:rPr>
              <w:t>缓考科目考试时间</w:t>
            </w:r>
          </w:p>
        </w:tc>
        <w:tc>
          <w:tcPr>
            <w:tcW w:w="327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Cs w:val="21"/>
              </w:rPr>
            </w:pPr>
          </w:p>
        </w:tc>
      </w:tr>
      <w:tr>
        <w:tblPrEx>
          <w:tblLayout w:type="fixed"/>
          <w:tblCellMar>
            <w:top w:w="0" w:type="dxa"/>
            <w:left w:w="0" w:type="dxa"/>
            <w:bottom w:w="0" w:type="dxa"/>
            <w:right w:w="0" w:type="dxa"/>
          </w:tblCellMar>
        </w:tblPrEx>
        <w:trPr>
          <w:trHeight w:val="1564"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申请理由</w:t>
            </w:r>
          </w:p>
        </w:tc>
        <w:tc>
          <w:tcPr>
            <w:tcW w:w="7911" w:type="dxa"/>
            <w:gridSpan w:val="5"/>
            <w:tcBorders>
              <w:top w:val="single" w:color="auto" w:sz="8" w:space="0"/>
              <w:left w:val="single" w:color="auto" w:sz="8" w:space="0"/>
              <w:bottom w:val="single" w:color="auto" w:sz="8" w:space="0"/>
              <w:right w:val="single" w:color="auto" w:sz="8" w:space="0"/>
            </w:tcBorders>
            <w:vAlign w:val="bottom"/>
          </w:tcPr>
          <w:p>
            <w:pPr>
              <w:autoSpaceDE w:val="0"/>
              <w:autoSpaceDN w:val="0"/>
              <w:jc w:val="center"/>
              <w:rPr>
                <w:kern w:val="0"/>
                <w:szCs w:val="21"/>
              </w:rPr>
            </w:pPr>
            <w:r>
              <w:rPr>
                <w:rFonts w:hint="eastAsia"/>
                <w:kern w:val="0"/>
                <w:szCs w:val="21"/>
              </w:rPr>
              <w:t xml:space="preserve">                                申请人</w:t>
            </w:r>
          </w:p>
          <w:p>
            <w:pPr>
              <w:autoSpaceDE w:val="0"/>
              <w:autoSpaceDN w:val="0"/>
              <w:jc w:val="center"/>
              <w:rPr>
                <w:kern w:val="0"/>
                <w:szCs w:val="21"/>
              </w:rPr>
            </w:pPr>
            <w:r>
              <w:rPr>
                <w:rFonts w:hint="eastAsia"/>
                <w:kern w:val="0"/>
                <w:szCs w:val="21"/>
              </w:rPr>
              <w:t xml:space="preserve">                                                                 年  月  日</w:t>
            </w:r>
          </w:p>
        </w:tc>
      </w:tr>
      <w:tr>
        <w:tblPrEx>
          <w:tblLayout w:type="fixed"/>
          <w:tblCellMar>
            <w:top w:w="0" w:type="dxa"/>
            <w:left w:w="0" w:type="dxa"/>
            <w:bottom w:w="0" w:type="dxa"/>
            <w:right w:w="0" w:type="dxa"/>
          </w:tblCellMar>
        </w:tblPrEx>
        <w:trPr>
          <w:trHeight w:val="1257"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班主任</w:t>
            </w:r>
          </w:p>
          <w:p>
            <w:pPr>
              <w:autoSpaceDE w:val="0"/>
              <w:autoSpaceDN w:val="0"/>
              <w:jc w:val="center"/>
              <w:rPr>
                <w:rFonts w:ascii="宋体" w:cs="宋体"/>
                <w:color w:val="000000"/>
                <w:kern w:val="0"/>
                <w:szCs w:val="21"/>
              </w:rPr>
            </w:pPr>
            <w:r>
              <w:rPr>
                <w:rFonts w:hint="eastAsia" w:ascii="宋体" w:cs="宋体"/>
                <w:color w:val="000000"/>
                <w:kern w:val="0"/>
                <w:szCs w:val="21"/>
              </w:rPr>
              <w:t>意  见</w:t>
            </w:r>
          </w:p>
        </w:tc>
        <w:tc>
          <w:tcPr>
            <w:tcW w:w="7911" w:type="dxa"/>
            <w:gridSpan w:val="5"/>
            <w:tcBorders>
              <w:top w:val="single" w:color="auto" w:sz="8" w:space="0"/>
              <w:left w:val="single" w:color="auto" w:sz="8" w:space="0"/>
              <w:bottom w:val="single" w:color="auto" w:sz="8" w:space="0"/>
              <w:right w:val="single" w:color="auto" w:sz="8" w:space="0"/>
            </w:tcBorders>
          </w:tcPr>
          <w:p>
            <w:pPr>
              <w:autoSpaceDE w:val="0"/>
              <w:autoSpaceDN w:val="0"/>
              <w:jc w:val="right"/>
              <w:rPr>
                <w:rFonts w:ascii="宋体" w:cs="宋体"/>
                <w:color w:val="000000"/>
                <w:kern w:val="0"/>
                <w:szCs w:val="21"/>
              </w:rPr>
            </w:pP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班主任签字</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年</w:t>
            </w:r>
            <w:r>
              <w:rPr>
                <w:rFonts w:ascii="宋体" w:cs="宋体"/>
                <w:color w:val="000000"/>
                <w:kern w:val="0"/>
                <w:szCs w:val="21"/>
              </w:rPr>
              <w:t xml:space="preserve">  </w:t>
            </w:r>
            <w:r>
              <w:rPr>
                <w:rFonts w:hint="eastAsia" w:ascii="宋体" w:cs="宋体"/>
                <w:color w:val="000000"/>
                <w:kern w:val="0"/>
                <w:szCs w:val="21"/>
              </w:rPr>
              <w:t>月</w:t>
            </w:r>
            <w:r>
              <w:rPr>
                <w:rFonts w:ascii="宋体" w:cs="宋体"/>
                <w:color w:val="000000"/>
                <w:kern w:val="0"/>
                <w:szCs w:val="21"/>
              </w:rPr>
              <w:t xml:space="preserve">  </w:t>
            </w:r>
            <w:r>
              <w:rPr>
                <w:rFonts w:hint="eastAsia" w:ascii="宋体" w:cs="宋体"/>
                <w:color w:val="000000"/>
                <w:kern w:val="0"/>
                <w:szCs w:val="21"/>
              </w:rPr>
              <w:t>日</w:t>
            </w:r>
          </w:p>
        </w:tc>
      </w:tr>
      <w:tr>
        <w:tblPrEx>
          <w:tblLayout w:type="fixed"/>
          <w:tblCellMar>
            <w:top w:w="0" w:type="dxa"/>
            <w:left w:w="0" w:type="dxa"/>
            <w:bottom w:w="0" w:type="dxa"/>
            <w:right w:w="0" w:type="dxa"/>
          </w:tblCellMar>
        </w:tblPrEx>
        <w:trPr>
          <w:trHeight w:val="1257"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二级学院</w:t>
            </w:r>
          </w:p>
          <w:p>
            <w:pPr>
              <w:autoSpaceDE w:val="0"/>
              <w:autoSpaceDN w:val="0"/>
              <w:jc w:val="center"/>
              <w:rPr>
                <w:rFonts w:ascii="宋体" w:cs="宋体"/>
                <w:color w:val="000000"/>
                <w:kern w:val="0"/>
                <w:szCs w:val="21"/>
              </w:rPr>
            </w:pPr>
            <w:r>
              <w:rPr>
                <w:rFonts w:hint="eastAsia" w:ascii="宋体" w:cs="宋体"/>
                <w:color w:val="000000"/>
                <w:kern w:val="0"/>
                <w:szCs w:val="21"/>
              </w:rPr>
              <w:t>意  见</w:t>
            </w:r>
          </w:p>
        </w:tc>
        <w:tc>
          <w:tcPr>
            <w:tcW w:w="7911" w:type="dxa"/>
            <w:gridSpan w:val="5"/>
            <w:tcBorders>
              <w:top w:val="single" w:color="auto" w:sz="8" w:space="0"/>
              <w:left w:val="single" w:color="auto" w:sz="8" w:space="0"/>
              <w:bottom w:val="single" w:color="auto" w:sz="8" w:space="0"/>
              <w:right w:val="single" w:color="auto" w:sz="8" w:space="0"/>
            </w:tcBorders>
          </w:tcPr>
          <w:p>
            <w:pPr>
              <w:autoSpaceDE w:val="0"/>
              <w:autoSpaceDN w:val="0"/>
              <w:jc w:val="right"/>
              <w:rPr>
                <w:rFonts w:ascii="宋体" w:cs="宋体"/>
                <w:color w:val="000000"/>
                <w:kern w:val="0"/>
                <w:szCs w:val="21"/>
              </w:rPr>
            </w:pP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二级学院领导签字</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年</w:t>
            </w:r>
            <w:r>
              <w:rPr>
                <w:rFonts w:ascii="宋体" w:cs="宋体"/>
                <w:color w:val="000000"/>
                <w:kern w:val="0"/>
                <w:szCs w:val="21"/>
              </w:rPr>
              <w:t xml:space="preserve">  </w:t>
            </w:r>
            <w:r>
              <w:rPr>
                <w:rFonts w:hint="eastAsia" w:ascii="宋体" w:cs="宋体"/>
                <w:color w:val="000000"/>
                <w:kern w:val="0"/>
                <w:szCs w:val="21"/>
              </w:rPr>
              <w:t>月</w:t>
            </w:r>
            <w:r>
              <w:rPr>
                <w:rFonts w:ascii="宋体" w:cs="宋体"/>
                <w:color w:val="000000"/>
                <w:kern w:val="0"/>
                <w:szCs w:val="21"/>
              </w:rPr>
              <w:t xml:space="preserve">  </w:t>
            </w:r>
            <w:r>
              <w:rPr>
                <w:rFonts w:hint="eastAsia" w:ascii="宋体" w:cs="宋体"/>
                <w:color w:val="000000"/>
                <w:kern w:val="0"/>
                <w:szCs w:val="21"/>
              </w:rPr>
              <w:t>日</w:t>
            </w:r>
          </w:p>
        </w:tc>
      </w:tr>
      <w:tr>
        <w:tblPrEx>
          <w:tblLayout w:type="fixed"/>
          <w:tblCellMar>
            <w:top w:w="0" w:type="dxa"/>
            <w:left w:w="0" w:type="dxa"/>
            <w:bottom w:w="0" w:type="dxa"/>
            <w:right w:w="0" w:type="dxa"/>
          </w:tblCellMar>
        </w:tblPrEx>
        <w:trPr>
          <w:trHeight w:val="1262" w:hRule="atLeast"/>
          <w:jc w:val="center"/>
        </w:trPr>
        <w:tc>
          <w:tcPr>
            <w:tcW w:w="13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r>
              <w:rPr>
                <w:rFonts w:hint="eastAsia" w:ascii="宋体" w:cs="宋体"/>
                <w:color w:val="000000"/>
                <w:kern w:val="0"/>
                <w:szCs w:val="21"/>
              </w:rPr>
              <w:t>开课院(部)</w:t>
            </w:r>
          </w:p>
          <w:p>
            <w:pPr>
              <w:autoSpaceDE w:val="0"/>
              <w:autoSpaceDN w:val="0"/>
              <w:jc w:val="center"/>
              <w:rPr>
                <w:rFonts w:ascii="宋体" w:cs="宋体"/>
                <w:color w:val="000000"/>
                <w:kern w:val="0"/>
                <w:szCs w:val="21"/>
              </w:rPr>
            </w:pPr>
            <w:r>
              <w:rPr>
                <w:rFonts w:hint="eastAsia" w:ascii="宋体" w:cs="宋体"/>
                <w:color w:val="000000"/>
                <w:kern w:val="0"/>
                <w:szCs w:val="21"/>
              </w:rPr>
              <w:t>意  见</w:t>
            </w:r>
          </w:p>
        </w:tc>
        <w:tc>
          <w:tcPr>
            <w:tcW w:w="7911" w:type="dxa"/>
            <w:gridSpan w:val="5"/>
            <w:tcBorders>
              <w:top w:val="single" w:color="auto" w:sz="8" w:space="0"/>
              <w:left w:val="single" w:color="auto" w:sz="8" w:space="0"/>
              <w:bottom w:val="single" w:color="auto" w:sz="8" w:space="0"/>
              <w:right w:val="single" w:color="auto" w:sz="8" w:space="0"/>
            </w:tcBorders>
          </w:tcPr>
          <w:p>
            <w:pPr>
              <w:autoSpaceDE w:val="0"/>
              <w:autoSpaceDN w:val="0"/>
              <w:jc w:val="left"/>
              <w:rPr>
                <w:rFonts w:ascii="宋体" w:cs="宋体"/>
                <w:color w:val="000000"/>
                <w:kern w:val="0"/>
                <w:szCs w:val="21"/>
              </w:rPr>
            </w:pP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开课院(部)领导签字</w:t>
            </w:r>
          </w:p>
          <w:p>
            <w:pPr>
              <w:autoSpaceDE w:val="0"/>
              <w:autoSpaceDN w:val="0"/>
              <w:jc w:val="center"/>
              <w:rPr>
                <w:rFonts w:ascii="宋体" w:cs="宋体"/>
                <w:color w:val="000000"/>
                <w:kern w:val="0"/>
                <w:szCs w:val="21"/>
              </w:rPr>
            </w:pPr>
            <w:r>
              <w:rPr>
                <w:rFonts w:hint="eastAsia" w:ascii="宋体" w:cs="宋体"/>
                <w:color w:val="000000"/>
                <w:kern w:val="0"/>
                <w:szCs w:val="21"/>
              </w:rPr>
              <w:t xml:space="preserve">                                                                 年</w:t>
            </w:r>
            <w:r>
              <w:rPr>
                <w:rFonts w:ascii="宋体" w:cs="宋体"/>
                <w:color w:val="000000"/>
                <w:kern w:val="0"/>
                <w:szCs w:val="21"/>
              </w:rPr>
              <w:t xml:space="preserve">  </w:t>
            </w:r>
            <w:r>
              <w:rPr>
                <w:rFonts w:hint="eastAsia" w:ascii="宋体" w:cs="宋体"/>
                <w:color w:val="000000"/>
                <w:kern w:val="0"/>
                <w:szCs w:val="21"/>
              </w:rPr>
              <w:t>月</w:t>
            </w:r>
            <w:r>
              <w:rPr>
                <w:rFonts w:ascii="宋体" w:cs="宋体"/>
                <w:color w:val="000000"/>
                <w:kern w:val="0"/>
                <w:szCs w:val="21"/>
              </w:rPr>
              <w:t xml:space="preserve">  </w:t>
            </w:r>
            <w:r>
              <w:rPr>
                <w:rFonts w:hint="eastAsia" w:ascii="宋体" w:cs="宋体"/>
                <w:color w:val="000000"/>
                <w:kern w:val="0"/>
                <w:szCs w:val="21"/>
              </w:rPr>
              <w:t>日</w:t>
            </w:r>
          </w:p>
        </w:tc>
      </w:tr>
      <w:tr>
        <w:tblPrEx>
          <w:tblLayout w:type="fixed"/>
          <w:tblCellMar>
            <w:top w:w="0" w:type="dxa"/>
            <w:left w:w="0" w:type="dxa"/>
            <w:bottom w:w="0" w:type="dxa"/>
            <w:right w:w="0" w:type="dxa"/>
          </w:tblCellMar>
        </w:tblPrEx>
        <w:trPr>
          <w:trHeight w:val="1801" w:hRule="atLeast"/>
          <w:jc w:val="center"/>
        </w:trPr>
        <w:tc>
          <w:tcPr>
            <w:tcW w:w="1300" w:type="dxa"/>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cs="宋体"/>
                <w:color w:val="000000"/>
                <w:kern w:val="0"/>
                <w:szCs w:val="21"/>
              </w:rPr>
            </w:pPr>
          </w:p>
          <w:p>
            <w:pPr>
              <w:autoSpaceDE w:val="0"/>
              <w:autoSpaceDN w:val="0"/>
              <w:jc w:val="center"/>
              <w:rPr>
                <w:rFonts w:ascii="宋体" w:cs="宋体"/>
                <w:color w:val="000000"/>
                <w:kern w:val="0"/>
                <w:szCs w:val="21"/>
              </w:rPr>
            </w:pPr>
            <w:r>
              <w:rPr>
                <w:rFonts w:hint="eastAsia" w:ascii="宋体" w:cs="宋体"/>
                <w:color w:val="000000"/>
                <w:kern w:val="0"/>
                <w:szCs w:val="21"/>
              </w:rPr>
              <w:t>附  件</w:t>
            </w:r>
          </w:p>
        </w:tc>
        <w:tc>
          <w:tcPr>
            <w:tcW w:w="7911" w:type="dxa"/>
            <w:gridSpan w:val="5"/>
            <w:tcBorders>
              <w:top w:val="single" w:color="auto" w:sz="8" w:space="0"/>
              <w:left w:val="single" w:color="auto" w:sz="8" w:space="0"/>
              <w:bottom w:val="single" w:color="auto" w:sz="8" w:space="0"/>
              <w:right w:val="single" w:color="auto" w:sz="8" w:space="0"/>
            </w:tcBorders>
          </w:tcPr>
          <w:p>
            <w:pPr>
              <w:autoSpaceDE w:val="0"/>
              <w:autoSpaceDN w:val="0"/>
              <w:rPr>
                <w:rFonts w:ascii="宋体" w:cs="宋体"/>
                <w:color w:val="000000"/>
                <w:kern w:val="0"/>
                <w:szCs w:val="21"/>
              </w:rPr>
            </w:pPr>
            <w:r>
              <w:rPr>
                <w:rFonts w:ascii="宋体" w:cs="宋体"/>
                <w:color w:val="000000"/>
                <w:kern w:val="0"/>
                <w:szCs w:val="21"/>
              </w:rPr>
              <w:t>1</w:t>
            </w:r>
            <w:r>
              <w:rPr>
                <w:rFonts w:hint="eastAsia" w:ascii="宋体" w:cs="宋体"/>
                <w:color w:val="000000"/>
                <w:kern w:val="0"/>
                <w:szCs w:val="21"/>
              </w:rPr>
              <w:t>、医院证明</w:t>
            </w:r>
          </w:p>
        </w:tc>
      </w:tr>
      <w:tr>
        <w:tblPrEx>
          <w:tblLayout w:type="fixed"/>
          <w:tblCellMar>
            <w:top w:w="0" w:type="dxa"/>
            <w:left w:w="0" w:type="dxa"/>
            <w:bottom w:w="0" w:type="dxa"/>
            <w:right w:w="0" w:type="dxa"/>
          </w:tblCellMar>
        </w:tblPrEx>
        <w:trPr>
          <w:trHeight w:val="1530" w:hRule="atLeast"/>
          <w:jc w:val="center"/>
        </w:trPr>
        <w:tc>
          <w:tcPr>
            <w:tcW w:w="1300" w:type="dxa"/>
            <w:vMerge w:val="continue"/>
            <w:tcBorders>
              <w:top w:val="single" w:color="auto" w:sz="8" w:space="0"/>
              <w:left w:val="single" w:color="auto" w:sz="8" w:space="0"/>
              <w:bottom w:val="single" w:color="auto" w:sz="8" w:space="0"/>
              <w:right w:val="single" w:color="auto" w:sz="8" w:space="0"/>
            </w:tcBorders>
          </w:tcPr>
          <w:p>
            <w:pPr>
              <w:autoSpaceDE w:val="0"/>
              <w:autoSpaceDN w:val="0"/>
              <w:rPr>
                <w:kern w:val="0"/>
                <w:szCs w:val="21"/>
              </w:rPr>
            </w:pPr>
          </w:p>
        </w:tc>
        <w:tc>
          <w:tcPr>
            <w:tcW w:w="7911" w:type="dxa"/>
            <w:gridSpan w:val="5"/>
            <w:tcBorders>
              <w:top w:val="single" w:color="auto" w:sz="8" w:space="0"/>
              <w:left w:val="single" w:color="auto" w:sz="8" w:space="0"/>
              <w:bottom w:val="single" w:color="auto" w:sz="8" w:space="0"/>
              <w:right w:val="single" w:color="auto" w:sz="8" w:space="0"/>
            </w:tcBorders>
          </w:tcPr>
          <w:p>
            <w:pPr>
              <w:autoSpaceDE w:val="0"/>
              <w:autoSpaceDN w:val="0"/>
              <w:rPr>
                <w:rFonts w:ascii="宋体" w:cs="宋体"/>
                <w:color w:val="000000"/>
                <w:kern w:val="0"/>
                <w:szCs w:val="21"/>
              </w:rPr>
            </w:pPr>
            <w:r>
              <w:rPr>
                <w:rFonts w:ascii="宋体" w:cs="宋体"/>
                <w:color w:val="000000"/>
                <w:kern w:val="0"/>
                <w:szCs w:val="21"/>
              </w:rPr>
              <w:t>2</w:t>
            </w:r>
            <w:r>
              <w:rPr>
                <w:rFonts w:hint="eastAsia" w:ascii="宋体" w:cs="宋体"/>
                <w:color w:val="000000"/>
                <w:kern w:val="0"/>
                <w:szCs w:val="21"/>
              </w:rPr>
              <w:t>、其他</w:t>
            </w:r>
          </w:p>
        </w:tc>
      </w:tr>
    </w:tbl>
    <w:p>
      <w:pPr>
        <w:spacing w:line="320" w:lineRule="exact"/>
        <w:rPr>
          <w:rFonts w:ascii="宋体" w:hAnsi="宋体"/>
          <w:color w:val="000000"/>
          <w:szCs w:val="21"/>
        </w:rPr>
      </w:pPr>
      <w:r>
        <w:rPr>
          <w:rFonts w:hint="eastAsia" w:ascii="宋体" w:hAnsi="宋体"/>
          <w:color w:val="000000"/>
          <w:szCs w:val="21"/>
        </w:rPr>
        <w:t>备注 1、申请专业课程缓考的，只需填写一份且开课院（部）意见栏不须填写；</w:t>
      </w:r>
    </w:p>
    <w:p>
      <w:pPr>
        <w:numPr>
          <w:ilvl w:val="0"/>
          <w:numId w:val="2"/>
        </w:numPr>
        <w:spacing w:line="320" w:lineRule="exact"/>
        <w:ind w:firstLine="525" w:firstLineChars="250"/>
        <w:rPr>
          <w:rFonts w:ascii="宋体" w:hAnsi="宋体"/>
          <w:color w:val="000000"/>
          <w:szCs w:val="21"/>
        </w:rPr>
      </w:pPr>
      <w:r>
        <w:rPr>
          <w:rFonts w:hint="eastAsia" w:ascii="宋体" w:hAnsi="宋体"/>
          <w:color w:val="000000"/>
          <w:szCs w:val="21"/>
        </w:rPr>
        <w:t>申请跨专业课程、通识课程缓考的一式两份，开课院（部）意见栏由开课学院签字。</w:t>
      </w:r>
    </w:p>
    <w:p>
      <w:pPr>
        <w:spacing w:line="320" w:lineRule="exact"/>
        <w:ind w:left="525"/>
        <w:rPr>
          <w:rFonts w:hint="eastAsia" w:ascii="宋体" w:hAnsi="宋体"/>
          <w:color w:val="000000"/>
          <w:szCs w:val="21"/>
        </w:rPr>
      </w:pP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内江师范学院等级考试规定和等级证书成绩认定办法</w:t>
      </w:r>
    </w:p>
    <w:p>
      <w:pPr>
        <w:spacing w:line="56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内师教字〔2014〕75号</w:t>
      </w:r>
    </w:p>
    <w:p>
      <w:pPr>
        <w:spacing w:line="560" w:lineRule="exact"/>
        <w:ind w:firstLine="420" w:firstLineChars="200"/>
        <w:rPr>
          <w:rFonts w:ascii="方正仿宋简体" w:hAnsi="宋体" w:eastAsia="方正仿宋简体" w:cs="宋体"/>
          <w:bCs/>
          <w:kern w:val="0"/>
          <w:szCs w:val="32"/>
        </w:rPr>
      </w:pP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为培养具有丰富的文化知识，综合、扎实的学科基础知识，具有一定的创新意识和实践能力的应用型人才，提高我校人才培养质量，根据人才培养方案的要求，课程设置以能力培养为目标，有行业准入原则或要求的，要以行业能力标准为学分认定标准，即取得相应行业资格证书的视为取得该课程所有学分。现对我校全日制在校学生参加各类等级考试规定和成绩认定的办法作如下规定。</w:t>
      </w:r>
    </w:p>
    <w:p>
      <w:pPr>
        <w:spacing w:line="360" w:lineRule="auto"/>
        <w:ind w:firstLine="482" w:firstLineChars="200"/>
        <w:rPr>
          <w:rFonts w:cs="宋体" w:asciiTheme="minorEastAsia" w:hAnsiTheme="minorEastAsia"/>
          <w:b/>
          <w:bCs/>
          <w:kern w:val="0"/>
          <w:sz w:val="24"/>
          <w:szCs w:val="24"/>
        </w:rPr>
      </w:pPr>
      <w:r>
        <w:rPr>
          <w:rFonts w:hint="eastAsia" w:cs="宋体" w:asciiTheme="minorEastAsia" w:hAnsiTheme="minorEastAsia"/>
          <w:b/>
          <w:bCs/>
          <w:kern w:val="0"/>
          <w:sz w:val="24"/>
          <w:szCs w:val="24"/>
        </w:rPr>
        <w:t>一、等级考试规定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除人才培养方案中专业教学计划规定要求外，本、专科学生自主决定参加计算机、外语、普通话水平测试等各类等级考试，等级考试过级不作为学生毕业和学位授予的基本条件。同时，为鼓励学生参加等级考试，过级学生可根据取得的等级证书参照本办法进行学分认定。</w:t>
      </w:r>
    </w:p>
    <w:p>
      <w:pPr>
        <w:spacing w:line="360" w:lineRule="auto"/>
        <w:ind w:firstLine="482" w:firstLineChars="200"/>
        <w:rPr>
          <w:rFonts w:cs="宋体" w:asciiTheme="minorEastAsia" w:hAnsiTheme="minorEastAsia"/>
          <w:b/>
          <w:bCs/>
          <w:kern w:val="0"/>
          <w:sz w:val="24"/>
          <w:szCs w:val="24"/>
        </w:rPr>
      </w:pPr>
      <w:r>
        <w:rPr>
          <w:rFonts w:hint="eastAsia" w:cs="宋体" w:asciiTheme="minorEastAsia" w:hAnsiTheme="minorEastAsia"/>
          <w:b/>
          <w:bCs/>
          <w:kern w:val="0"/>
          <w:sz w:val="24"/>
          <w:szCs w:val="24"/>
        </w:rPr>
        <w:t>二、等级考试学分认定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1．计算机等级证书的认定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在修读年限内自主决定何时参加计算机等级考试，达到学校相应要求后可免修、免试《大学计算机基础》后续课程，并可选修计算机技能提高课程，即文科、艺体类专业本、专科学生计算机等级考试达四川省或全国一级水平，理工类专业本、专科学生计算机等级考试达四川省或全国二级水平，即视为《大学计算机基础》课程学习合格并可以认定相应学分。</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文科、艺体类专业本、专科学生计算机等级考试成绩及绩点认定方法如表1所示。 </w:t>
      </w:r>
    </w:p>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表1计算机一级证书等级认定</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1751"/>
        <w:gridCol w:w="1800"/>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89"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一级证书等级</w:t>
            </w:r>
          </w:p>
        </w:tc>
        <w:tc>
          <w:tcPr>
            <w:tcW w:w="1751"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成绩</w:t>
            </w:r>
          </w:p>
        </w:tc>
        <w:tc>
          <w:tcPr>
            <w:tcW w:w="1800"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绩点</w:t>
            </w:r>
          </w:p>
        </w:tc>
        <w:tc>
          <w:tcPr>
            <w:tcW w:w="3416"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shd w:val="clear" w:color="auto" w:fill="auto"/>
          </w:tcPr>
          <w:p>
            <w:pPr>
              <w:spacing w:line="360" w:lineRule="auto"/>
              <w:ind w:firstLine="720" w:firstLineChars="300"/>
              <w:rPr>
                <w:rFonts w:cs="宋体" w:asciiTheme="minorEastAsia" w:hAnsiTheme="minorEastAsia"/>
                <w:bCs/>
                <w:kern w:val="0"/>
                <w:sz w:val="24"/>
                <w:szCs w:val="24"/>
              </w:rPr>
            </w:pPr>
            <w:r>
              <w:rPr>
                <w:rFonts w:hint="eastAsia" w:cs="宋体" w:asciiTheme="minorEastAsia" w:hAnsiTheme="minorEastAsia"/>
                <w:bCs/>
                <w:kern w:val="0"/>
                <w:sz w:val="24"/>
                <w:szCs w:val="24"/>
              </w:rPr>
              <w:t>优秀</w:t>
            </w:r>
          </w:p>
        </w:tc>
        <w:tc>
          <w:tcPr>
            <w:tcW w:w="1751"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90</w:t>
            </w:r>
          </w:p>
        </w:tc>
        <w:tc>
          <w:tcPr>
            <w:tcW w:w="1800"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4.00</w:t>
            </w:r>
          </w:p>
        </w:tc>
        <w:tc>
          <w:tcPr>
            <w:tcW w:w="3416" w:type="dxa"/>
            <w:vMerge w:val="restart"/>
            <w:shd w:val="clear" w:color="auto" w:fill="auto"/>
            <w:vAlign w:val="center"/>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课程规定学分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shd w:val="clear" w:color="auto" w:fill="auto"/>
          </w:tcPr>
          <w:p>
            <w:pPr>
              <w:spacing w:line="360" w:lineRule="auto"/>
              <w:ind w:firstLine="720" w:firstLineChars="300"/>
              <w:rPr>
                <w:rFonts w:cs="宋体" w:asciiTheme="minorEastAsia" w:hAnsiTheme="minorEastAsia"/>
                <w:bCs/>
                <w:kern w:val="0"/>
                <w:sz w:val="24"/>
                <w:szCs w:val="24"/>
              </w:rPr>
            </w:pPr>
            <w:r>
              <w:rPr>
                <w:rFonts w:hint="eastAsia" w:cs="宋体" w:asciiTheme="minorEastAsia" w:hAnsiTheme="minorEastAsia"/>
                <w:bCs/>
                <w:kern w:val="0"/>
                <w:sz w:val="24"/>
                <w:szCs w:val="24"/>
              </w:rPr>
              <w:t>合格</w:t>
            </w:r>
          </w:p>
        </w:tc>
        <w:tc>
          <w:tcPr>
            <w:tcW w:w="1751"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80</w:t>
            </w:r>
          </w:p>
        </w:tc>
        <w:tc>
          <w:tcPr>
            <w:tcW w:w="1800"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2.67</w:t>
            </w:r>
          </w:p>
        </w:tc>
        <w:tc>
          <w:tcPr>
            <w:tcW w:w="3416" w:type="dxa"/>
            <w:vMerge w:val="continue"/>
            <w:shd w:val="clear" w:color="auto" w:fill="auto"/>
          </w:tcPr>
          <w:p>
            <w:pPr>
              <w:spacing w:line="360" w:lineRule="auto"/>
              <w:ind w:firstLine="720" w:firstLineChars="300"/>
              <w:rPr>
                <w:rFonts w:cs="宋体" w:asciiTheme="minorEastAsia" w:hAnsiTheme="minorEastAsia"/>
                <w:bCs/>
                <w:kern w:val="0"/>
                <w:sz w:val="24"/>
                <w:szCs w:val="24"/>
              </w:rPr>
            </w:pPr>
          </w:p>
        </w:tc>
      </w:tr>
    </w:tbl>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理工类专业本、专科学生计算机等级考试成绩及绩点认定方法如表2所示。</w:t>
      </w:r>
    </w:p>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表2 计算机二级证书等级认定</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1864"/>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二级证书等级</w:t>
            </w:r>
          </w:p>
        </w:tc>
        <w:tc>
          <w:tcPr>
            <w:tcW w:w="1864"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成绩</w:t>
            </w:r>
          </w:p>
        </w:tc>
        <w:tc>
          <w:tcPr>
            <w:tcW w:w="1701"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绩点</w:t>
            </w:r>
          </w:p>
        </w:tc>
        <w:tc>
          <w:tcPr>
            <w:tcW w:w="3402" w:type="dxa"/>
            <w:shd w:val="clear" w:color="auto" w:fill="auto"/>
          </w:tcPr>
          <w:p>
            <w:pPr>
              <w:spacing w:line="360" w:lineRule="auto"/>
              <w:ind w:firstLine="240" w:firstLineChars="1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优秀</w:t>
            </w:r>
          </w:p>
        </w:tc>
        <w:tc>
          <w:tcPr>
            <w:tcW w:w="1864" w:type="dxa"/>
            <w:shd w:val="clear" w:color="auto" w:fill="auto"/>
          </w:tcPr>
          <w:p>
            <w:pPr>
              <w:spacing w:line="360" w:lineRule="auto"/>
              <w:ind w:firstLine="360" w:firstLineChars="150"/>
              <w:rPr>
                <w:rFonts w:cs="宋体" w:asciiTheme="minorEastAsia" w:hAnsiTheme="minorEastAsia"/>
                <w:bCs/>
                <w:kern w:val="0"/>
                <w:sz w:val="24"/>
                <w:szCs w:val="24"/>
              </w:rPr>
            </w:pPr>
            <w:r>
              <w:rPr>
                <w:rFonts w:hint="eastAsia" w:cs="宋体" w:asciiTheme="minorEastAsia" w:hAnsiTheme="minorEastAsia"/>
                <w:bCs/>
                <w:kern w:val="0"/>
                <w:sz w:val="24"/>
                <w:szCs w:val="24"/>
              </w:rPr>
              <w:t>90</w:t>
            </w:r>
          </w:p>
        </w:tc>
        <w:tc>
          <w:tcPr>
            <w:tcW w:w="1701"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4.00</w:t>
            </w:r>
          </w:p>
        </w:tc>
        <w:tc>
          <w:tcPr>
            <w:tcW w:w="3402" w:type="dxa"/>
            <w:vMerge w:val="restart"/>
            <w:shd w:val="clear" w:color="auto" w:fill="auto"/>
            <w:vAlign w:val="center"/>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课程规定学分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9"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合格</w:t>
            </w:r>
          </w:p>
        </w:tc>
        <w:tc>
          <w:tcPr>
            <w:tcW w:w="1864" w:type="dxa"/>
            <w:shd w:val="clear" w:color="auto" w:fill="auto"/>
          </w:tcPr>
          <w:p>
            <w:pPr>
              <w:spacing w:line="360" w:lineRule="auto"/>
              <w:ind w:firstLine="360" w:firstLineChars="150"/>
              <w:rPr>
                <w:rFonts w:cs="宋体" w:asciiTheme="minorEastAsia" w:hAnsiTheme="minorEastAsia"/>
                <w:bCs/>
                <w:kern w:val="0"/>
                <w:sz w:val="24"/>
                <w:szCs w:val="24"/>
              </w:rPr>
            </w:pPr>
            <w:r>
              <w:rPr>
                <w:rFonts w:hint="eastAsia" w:cs="宋体" w:asciiTheme="minorEastAsia" w:hAnsiTheme="minorEastAsia"/>
                <w:bCs/>
                <w:kern w:val="0"/>
                <w:sz w:val="24"/>
                <w:szCs w:val="24"/>
              </w:rPr>
              <w:t>80</w:t>
            </w:r>
          </w:p>
        </w:tc>
        <w:tc>
          <w:tcPr>
            <w:tcW w:w="1701"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2.67</w:t>
            </w:r>
          </w:p>
        </w:tc>
        <w:tc>
          <w:tcPr>
            <w:tcW w:w="3402" w:type="dxa"/>
            <w:vMerge w:val="continue"/>
            <w:shd w:val="clear" w:color="auto" w:fill="auto"/>
          </w:tcPr>
          <w:p>
            <w:pPr>
              <w:spacing w:line="360" w:lineRule="auto"/>
              <w:ind w:firstLine="600" w:firstLineChars="250"/>
              <w:rPr>
                <w:rFonts w:cs="宋体" w:asciiTheme="minorEastAsia" w:hAnsiTheme="minorEastAsia"/>
                <w:bCs/>
                <w:kern w:val="0"/>
                <w:sz w:val="24"/>
                <w:szCs w:val="24"/>
              </w:rPr>
            </w:pPr>
          </w:p>
        </w:tc>
      </w:tr>
    </w:tbl>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2．英语等级证书认定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color w:val="000000"/>
          <w:kern w:val="0"/>
          <w:sz w:val="24"/>
          <w:szCs w:val="24"/>
        </w:rPr>
        <w:t>在修读年限内自主决定何时参加大学英语三级、四级、六级考试，达到学校相应要求后可免修、免试《大学外语》后续课程，并可选修英语技能提高课程。即非外语专业的文科、理工类本科生大学英语成绩达全国四级，艺体类专业、非外语专业专科生大学英语成绩达四川省三级，即视为《大学外语》课程学习合格并可以认定理论课学分。</w:t>
      </w:r>
    </w:p>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表3 四川省大学英语三级成绩认定</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四川省大学英语三级成绩</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绩点/成绩</w:t>
            </w:r>
          </w:p>
        </w:tc>
        <w:tc>
          <w:tcPr>
            <w:tcW w:w="2410" w:type="dxa"/>
            <w:shd w:val="clear" w:color="auto" w:fill="auto"/>
          </w:tcPr>
          <w:p>
            <w:pPr>
              <w:spacing w:line="360" w:lineRule="auto"/>
              <w:ind w:firstLine="240" w:firstLineChars="100"/>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60-65</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2.00 /74.9</w:t>
            </w:r>
          </w:p>
        </w:tc>
        <w:tc>
          <w:tcPr>
            <w:tcW w:w="2410" w:type="dxa"/>
            <w:vMerge w:val="restart"/>
            <w:shd w:val="clear" w:color="auto" w:fill="auto"/>
          </w:tcPr>
          <w:p>
            <w:pPr>
              <w:spacing w:line="360" w:lineRule="auto"/>
              <w:ind w:firstLine="840" w:firstLineChars="350"/>
              <w:rPr>
                <w:rFonts w:cs="宋体" w:asciiTheme="minorEastAsia" w:hAnsiTheme="minorEastAsia"/>
                <w:bCs/>
                <w:kern w:val="0"/>
                <w:sz w:val="24"/>
                <w:szCs w:val="24"/>
              </w:rPr>
            </w:pPr>
          </w:p>
          <w:p>
            <w:pPr>
              <w:spacing w:line="360" w:lineRule="auto"/>
              <w:ind w:firstLine="840" w:firstLineChars="350"/>
              <w:rPr>
                <w:rFonts w:cs="宋体" w:asciiTheme="minorEastAsia" w:hAnsiTheme="minorEastAsia"/>
                <w:bCs/>
                <w:kern w:val="0"/>
                <w:sz w:val="24"/>
                <w:szCs w:val="24"/>
              </w:rPr>
            </w:pPr>
            <w:r>
              <w:rPr>
                <w:rFonts w:hint="eastAsia" w:cs="宋体" w:asciiTheme="minorEastAsia" w:hAnsiTheme="minorEastAsia"/>
                <w:bCs/>
                <w:kern w:val="0"/>
                <w:sz w:val="24"/>
                <w:szCs w:val="24"/>
              </w:rPr>
              <w:t>理</w:t>
            </w:r>
          </w:p>
          <w:p>
            <w:pPr>
              <w:spacing w:line="360" w:lineRule="auto"/>
              <w:ind w:firstLine="840" w:firstLineChars="350"/>
              <w:rPr>
                <w:rFonts w:cs="宋体" w:asciiTheme="minorEastAsia" w:hAnsiTheme="minorEastAsia"/>
                <w:bCs/>
                <w:kern w:val="0"/>
                <w:sz w:val="24"/>
                <w:szCs w:val="24"/>
              </w:rPr>
            </w:pPr>
            <w:r>
              <w:rPr>
                <w:rFonts w:hint="eastAsia" w:cs="宋体" w:asciiTheme="minorEastAsia" w:hAnsiTheme="minorEastAsia"/>
                <w:bCs/>
                <w:kern w:val="0"/>
                <w:sz w:val="24"/>
                <w:szCs w:val="24"/>
              </w:rPr>
              <w:t>论</w:t>
            </w:r>
          </w:p>
          <w:p>
            <w:pPr>
              <w:spacing w:line="360" w:lineRule="auto"/>
              <w:ind w:firstLine="840" w:firstLineChars="350"/>
              <w:rPr>
                <w:rFonts w:cs="宋体" w:asciiTheme="minorEastAsia" w:hAnsiTheme="minorEastAsia"/>
                <w:bCs/>
                <w:kern w:val="0"/>
                <w:sz w:val="24"/>
                <w:szCs w:val="24"/>
              </w:rPr>
            </w:pPr>
            <w:r>
              <w:rPr>
                <w:rFonts w:hint="eastAsia" w:cs="宋体" w:asciiTheme="minorEastAsia" w:hAnsiTheme="minorEastAsia"/>
                <w:bCs/>
                <w:kern w:val="0"/>
                <w:sz w:val="24"/>
                <w:szCs w:val="24"/>
              </w:rPr>
              <w:t>课</w:t>
            </w:r>
          </w:p>
          <w:p>
            <w:pPr>
              <w:spacing w:line="360" w:lineRule="auto"/>
              <w:ind w:firstLine="840" w:firstLineChars="350"/>
              <w:rPr>
                <w:rFonts w:cs="宋体" w:asciiTheme="minorEastAsia" w:hAnsiTheme="minorEastAsia"/>
                <w:bCs/>
                <w:kern w:val="0"/>
                <w:sz w:val="24"/>
                <w:szCs w:val="24"/>
              </w:rPr>
            </w:pPr>
            <w:r>
              <w:rPr>
                <w:rFonts w:hint="eastAsia" w:cs="宋体" w:asciiTheme="minorEastAsia" w:hAnsiTheme="minorEastAsia"/>
                <w:bCs/>
                <w:kern w:val="0"/>
                <w:sz w:val="24"/>
                <w:szCs w:val="24"/>
              </w:rPr>
              <w:t>学</w:t>
            </w:r>
          </w:p>
          <w:p>
            <w:pPr>
              <w:spacing w:line="360" w:lineRule="auto"/>
              <w:ind w:firstLine="840" w:firstLineChars="350"/>
              <w:rPr>
                <w:rFonts w:cs="宋体" w:asciiTheme="minorEastAsia" w:hAnsiTheme="minorEastAsia"/>
                <w:bCs/>
                <w:kern w:val="0"/>
                <w:sz w:val="24"/>
                <w:szCs w:val="24"/>
              </w:rPr>
            </w:pP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66-69</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2.33/77.9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70-73</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2.67/80.9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74-77</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3.00/83.9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78-80</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3.33/86.9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81-89</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3.67/89.9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90以上</w:t>
            </w:r>
          </w:p>
        </w:tc>
        <w:tc>
          <w:tcPr>
            <w:tcW w:w="2693"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4/100</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bl>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表4 全国大学英语四级成绩认定</w:t>
      </w:r>
    </w:p>
    <w:tbl>
      <w:tblPr>
        <w:tblStyle w:val="15"/>
        <w:tblpPr w:leftFromText="180" w:rightFromText="180" w:vertAnchor="text" w:horzAnchor="margin" w:tblpXSpec="center" w:tblpY="189"/>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gridCol w:w="2706"/>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全国大学英语四级成绩</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绩点/成绩</w:t>
            </w:r>
          </w:p>
        </w:tc>
        <w:tc>
          <w:tcPr>
            <w:tcW w:w="2478" w:type="dxa"/>
            <w:shd w:val="clear" w:color="auto" w:fill="auto"/>
          </w:tcPr>
          <w:p>
            <w:pPr>
              <w:spacing w:line="360" w:lineRule="auto"/>
              <w:ind w:firstLine="240" w:firstLineChars="100"/>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425-445</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2.00/74.9</w:t>
            </w:r>
          </w:p>
        </w:tc>
        <w:tc>
          <w:tcPr>
            <w:tcW w:w="2478" w:type="dxa"/>
            <w:vMerge w:val="restart"/>
            <w:shd w:val="clear" w:color="auto" w:fill="auto"/>
          </w:tcPr>
          <w:p>
            <w:pPr>
              <w:spacing w:line="360" w:lineRule="auto"/>
              <w:ind w:firstLine="960" w:firstLineChars="400"/>
              <w:rPr>
                <w:rFonts w:cs="宋体" w:asciiTheme="minorEastAsia" w:hAnsiTheme="minorEastAsia"/>
                <w:bCs/>
                <w:kern w:val="0"/>
                <w:sz w:val="24"/>
                <w:szCs w:val="24"/>
              </w:rPr>
            </w:pPr>
            <w:r>
              <w:rPr>
                <w:rFonts w:hint="eastAsia" w:cs="宋体" w:asciiTheme="minorEastAsia" w:hAnsiTheme="minorEastAsia"/>
                <w:bCs/>
                <w:kern w:val="0"/>
                <w:sz w:val="24"/>
                <w:szCs w:val="24"/>
              </w:rPr>
              <w:t>理</w:t>
            </w:r>
          </w:p>
          <w:p>
            <w:pPr>
              <w:spacing w:line="360" w:lineRule="auto"/>
              <w:ind w:firstLine="960" w:firstLineChars="400"/>
              <w:rPr>
                <w:rFonts w:cs="宋体" w:asciiTheme="minorEastAsia" w:hAnsiTheme="minorEastAsia"/>
                <w:bCs/>
                <w:kern w:val="0"/>
                <w:sz w:val="24"/>
                <w:szCs w:val="24"/>
              </w:rPr>
            </w:pPr>
            <w:r>
              <w:rPr>
                <w:rFonts w:hint="eastAsia" w:cs="宋体" w:asciiTheme="minorEastAsia" w:hAnsiTheme="minorEastAsia"/>
                <w:bCs/>
                <w:kern w:val="0"/>
                <w:sz w:val="24"/>
                <w:szCs w:val="24"/>
              </w:rPr>
              <w:t>论</w:t>
            </w:r>
          </w:p>
          <w:p>
            <w:pPr>
              <w:spacing w:line="360" w:lineRule="auto"/>
              <w:ind w:firstLine="960" w:firstLineChars="400"/>
              <w:rPr>
                <w:rFonts w:cs="宋体" w:asciiTheme="minorEastAsia" w:hAnsiTheme="minorEastAsia"/>
                <w:bCs/>
                <w:kern w:val="0"/>
                <w:sz w:val="24"/>
                <w:szCs w:val="24"/>
              </w:rPr>
            </w:pPr>
            <w:r>
              <w:rPr>
                <w:rFonts w:hint="eastAsia" w:cs="宋体" w:asciiTheme="minorEastAsia" w:hAnsiTheme="minorEastAsia"/>
                <w:bCs/>
                <w:kern w:val="0"/>
                <w:sz w:val="24"/>
                <w:szCs w:val="24"/>
              </w:rPr>
              <w:t>课</w:t>
            </w:r>
          </w:p>
          <w:p>
            <w:pPr>
              <w:spacing w:line="360" w:lineRule="auto"/>
              <w:ind w:firstLine="960" w:firstLineChars="400"/>
              <w:rPr>
                <w:rFonts w:cs="宋体" w:asciiTheme="minorEastAsia" w:hAnsiTheme="minorEastAsia"/>
                <w:bCs/>
                <w:kern w:val="0"/>
                <w:sz w:val="24"/>
                <w:szCs w:val="24"/>
              </w:rPr>
            </w:pPr>
            <w:r>
              <w:rPr>
                <w:rFonts w:hint="eastAsia" w:cs="宋体" w:asciiTheme="minorEastAsia" w:hAnsiTheme="minorEastAsia"/>
                <w:bCs/>
                <w:kern w:val="0"/>
                <w:sz w:val="24"/>
                <w:szCs w:val="24"/>
              </w:rPr>
              <w:t>学</w:t>
            </w:r>
          </w:p>
          <w:p>
            <w:pPr>
              <w:spacing w:line="360" w:lineRule="auto"/>
              <w:ind w:firstLine="960" w:firstLineChars="400"/>
              <w:rPr>
                <w:rFonts w:cs="宋体" w:asciiTheme="minorEastAsia" w:hAnsiTheme="minorEastAsia"/>
                <w:bCs/>
                <w:kern w:val="0"/>
                <w:sz w:val="24"/>
                <w:szCs w:val="24"/>
              </w:rPr>
            </w:pP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446-466</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2.33/77.9</w:t>
            </w:r>
          </w:p>
        </w:tc>
        <w:tc>
          <w:tcPr>
            <w:tcW w:w="2478"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467-487</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2.67/80.9</w:t>
            </w:r>
          </w:p>
        </w:tc>
        <w:tc>
          <w:tcPr>
            <w:tcW w:w="2478"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488-518</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3.00/83.9</w:t>
            </w:r>
          </w:p>
        </w:tc>
        <w:tc>
          <w:tcPr>
            <w:tcW w:w="2478"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519-549</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3.33/86.9</w:t>
            </w:r>
          </w:p>
        </w:tc>
        <w:tc>
          <w:tcPr>
            <w:tcW w:w="2478"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5"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550以上</w:t>
            </w:r>
          </w:p>
        </w:tc>
        <w:tc>
          <w:tcPr>
            <w:tcW w:w="2706" w:type="dxa"/>
            <w:shd w:val="clear" w:color="auto" w:fill="auto"/>
          </w:tcPr>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4/100</w:t>
            </w:r>
          </w:p>
        </w:tc>
        <w:tc>
          <w:tcPr>
            <w:tcW w:w="2478"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bl>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表5 全国大学英语六级成绩认定</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全国大学英语六级成绩</w:t>
            </w:r>
          </w:p>
        </w:tc>
        <w:tc>
          <w:tcPr>
            <w:tcW w:w="2693"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绩点/成绩</w:t>
            </w:r>
          </w:p>
        </w:tc>
        <w:tc>
          <w:tcPr>
            <w:tcW w:w="2410"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425-470</w:t>
            </w:r>
          </w:p>
        </w:tc>
        <w:tc>
          <w:tcPr>
            <w:tcW w:w="2693"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2.67/80.9</w:t>
            </w:r>
          </w:p>
        </w:tc>
        <w:tc>
          <w:tcPr>
            <w:tcW w:w="2410" w:type="dxa"/>
            <w:vMerge w:val="restart"/>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理</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论</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课</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471-480</w:t>
            </w:r>
          </w:p>
        </w:tc>
        <w:tc>
          <w:tcPr>
            <w:tcW w:w="2693"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3.00/83.9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481-518</w:t>
            </w:r>
          </w:p>
        </w:tc>
        <w:tc>
          <w:tcPr>
            <w:tcW w:w="2693"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3.33/86.9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519-549</w:t>
            </w:r>
          </w:p>
        </w:tc>
        <w:tc>
          <w:tcPr>
            <w:tcW w:w="2693"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3.67/89.9</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550以上</w:t>
            </w:r>
          </w:p>
        </w:tc>
        <w:tc>
          <w:tcPr>
            <w:tcW w:w="2693" w:type="dxa"/>
            <w:shd w:val="clear" w:color="auto" w:fill="auto"/>
          </w:tcPr>
          <w:p>
            <w:pPr>
              <w:spacing w:line="360" w:lineRule="auto"/>
              <w:ind w:firstLine="720" w:firstLineChars="300"/>
              <w:rPr>
                <w:rFonts w:cs="宋体" w:asciiTheme="minorEastAsia" w:hAnsiTheme="minorEastAsia"/>
                <w:bCs/>
                <w:kern w:val="0"/>
                <w:sz w:val="24"/>
                <w:szCs w:val="24"/>
              </w:rPr>
            </w:pPr>
            <w:r>
              <w:rPr>
                <w:rFonts w:hint="eastAsia" w:cs="宋体" w:asciiTheme="minorEastAsia" w:hAnsiTheme="minorEastAsia"/>
                <w:bCs/>
                <w:kern w:val="0"/>
                <w:sz w:val="24"/>
                <w:szCs w:val="24"/>
              </w:rPr>
              <w:t>4/100</w:t>
            </w:r>
          </w:p>
        </w:tc>
        <w:tc>
          <w:tcPr>
            <w:tcW w:w="2410"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bl>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3．普通话水平测试证书认定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在修读年限内自主决定何时参加普通话水平测试，达到“二级乙等“等级后可免修、免试《普通话与教师口语》课程。根据《普通话水平测试管理规定》（教育部令第16号）规定：“测试工作原则上实行属地管理”，学校认可的普通话水平测试机构为四川省普通话水平测试中心，测试站点为：四川省测试中心和内江师范学院。普通话水平测试成绩及绩点认定方法如表6所示。</w:t>
      </w:r>
    </w:p>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表6 普通话水平测试成绩认定</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9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普通话水平成绩/等级</w:t>
            </w:r>
          </w:p>
        </w:tc>
        <w:tc>
          <w:tcPr>
            <w:tcW w:w="2977" w:type="dxa"/>
            <w:shd w:val="clear" w:color="auto" w:fill="auto"/>
          </w:tcPr>
          <w:p>
            <w:pPr>
              <w:spacing w:line="360" w:lineRule="auto"/>
              <w:ind w:firstLine="600" w:firstLineChars="250"/>
              <w:jc w:val="center"/>
              <w:rPr>
                <w:rFonts w:cs="宋体" w:asciiTheme="minorEastAsia" w:hAnsiTheme="minorEastAsia"/>
                <w:bCs/>
                <w:kern w:val="0"/>
                <w:sz w:val="24"/>
                <w:szCs w:val="24"/>
              </w:rPr>
            </w:pPr>
            <w:r>
              <w:rPr>
                <w:rFonts w:hint="eastAsia" w:cs="宋体" w:asciiTheme="minorEastAsia" w:hAnsiTheme="minorEastAsia"/>
                <w:bCs/>
                <w:kern w:val="0"/>
                <w:sz w:val="24"/>
                <w:szCs w:val="24"/>
              </w:rPr>
              <w:t>绩点/成绩</w:t>
            </w:r>
          </w:p>
        </w:tc>
        <w:tc>
          <w:tcPr>
            <w:tcW w:w="2551"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认定的最高学分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二级乙等</w:t>
            </w:r>
          </w:p>
        </w:tc>
        <w:tc>
          <w:tcPr>
            <w:tcW w:w="2977"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2.00/74.9</w:t>
            </w:r>
          </w:p>
        </w:tc>
        <w:tc>
          <w:tcPr>
            <w:tcW w:w="2551" w:type="dxa"/>
            <w:vMerge w:val="restart"/>
            <w:shd w:val="clear" w:color="auto" w:fill="auto"/>
          </w:tcPr>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课程</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规定</w:t>
            </w:r>
          </w:p>
          <w:p>
            <w:pPr>
              <w:spacing w:line="360" w:lineRule="auto"/>
              <w:ind w:firstLine="480" w:firstLineChars="200"/>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二级甲等</w:t>
            </w:r>
          </w:p>
        </w:tc>
        <w:tc>
          <w:tcPr>
            <w:tcW w:w="2977"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3.67/89.9</w:t>
            </w:r>
          </w:p>
        </w:tc>
        <w:tc>
          <w:tcPr>
            <w:tcW w:w="2551"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shd w:val="clear" w:color="auto" w:fill="auto"/>
          </w:tcPr>
          <w:p>
            <w:pPr>
              <w:spacing w:line="36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一级乙等</w:t>
            </w:r>
          </w:p>
        </w:tc>
        <w:tc>
          <w:tcPr>
            <w:tcW w:w="2977" w:type="dxa"/>
            <w:shd w:val="clear" w:color="auto" w:fill="auto"/>
          </w:tcPr>
          <w:p>
            <w:pPr>
              <w:spacing w:line="360" w:lineRule="auto"/>
              <w:ind w:firstLine="600" w:firstLineChars="250"/>
              <w:rPr>
                <w:rFonts w:cs="宋体" w:asciiTheme="minorEastAsia" w:hAnsiTheme="minorEastAsia"/>
                <w:bCs/>
                <w:kern w:val="0"/>
                <w:sz w:val="24"/>
                <w:szCs w:val="24"/>
              </w:rPr>
            </w:pPr>
            <w:r>
              <w:rPr>
                <w:rFonts w:hint="eastAsia" w:cs="宋体" w:asciiTheme="minorEastAsia" w:hAnsiTheme="minorEastAsia"/>
                <w:bCs/>
                <w:kern w:val="0"/>
                <w:sz w:val="24"/>
                <w:szCs w:val="24"/>
              </w:rPr>
              <w:t>4.00/100</w:t>
            </w:r>
          </w:p>
        </w:tc>
        <w:tc>
          <w:tcPr>
            <w:tcW w:w="2551" w:type="dxa"/>
            <w:vMerge w:val="continue"/>
            <w:shd w:val="clear" w:color="auto" w:fill="auto"/>
          </w:tcPr>
          <w:p>
            <w:pPr>
              <w:spacing w:line="360" w:lineRule="auto"/>
              <w:ind w:firstLine="480" w:firstLineChars="200"/>
              <w:jc w:val="center"/>
              <w:rPr>
                <w:rFonts w:cs="宋体" w:asciiTheme="minorEastAsia" w:hAnsiTheme="minorEastAsia"/>
                <w:bCs/>
                <w:kern w:val="0"/>
                <w:sz w:val="24"/>
                <w:szCs w:val="24"/>
              </w:rPr>
            </w:pPr>
          </w:p>
        </w:tc>
      </w:tr>
    </w:tbl>
    <w:p>
      <w:pPr>
        <w:spacing w:line="360" w:lineRule="auto"/>
        <w:ind w:firstLine="482" w:firstLineChars="200"/>
        <w:rPr>
          <w:rFonts w:cs="宋体" w:asciiTheme="minorEastAsia" w:hAnsiTheme="minorEastAsia"/>
          <w:b/>
          <w:bCs/>
          <w:kern w:val="0"/>
          <w:sz w:val="24"/>
          <w:szCs w:val="24"/>
        </w:rPr>
      </w:pPr>
      <w:r>
        <w:rPr>
          <w:rFonts w:hint="eastAsia" w:cs="宋体" w:asciiTheme="minorEastAsia" w:hAnsiTheme="minorEastAsia"/>
          <w:b/>
          <w:bCs/>
          <w:kern w:val="0"/>
          <w:sz w:val="24"/>
          <w:szCs w:val="24"/>
        </w:rPr>
        <w:t>三、学分认定程序</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每学期期初和期末分别进行一次证书认定工作，其中期初认定上一期相应课程成绩，期末认定当期相应课程成绩，在规定时间内，由学生填写《内江师范学院证书认定学分申请表》，经二级学院、教务处审核通过后，由学生所在二级学院教学科研办公室负责录入成绩。</w:t>
      </w:r>
    </w:p>
    <w:p>
      <w:pPr>
        <w:spacing w:line="360" w:lineRule="auto"/>
        <w:ind w:firstLine="482" w:firstLineChars="200"/>
        <w:rPr>
          <w:rFonts w:cs="宋体" w:asciiTheme="minorEastAsia" w:hAnsiTheme="minorEastAsia"/>
          <w:b/>
          <w:bCs/>
          <w:kern w:val="0"/>
          <w:sz w:val="24"/>
          <w:szCs w:val="24"/>
        </w:rPr>
      </w:pPr>
      <w:r>
        <w:rPr>
          <w:rFonts w:hint="eastAsia" w:cs="宋体" w:asciiTheme="minorEastAsia" w:hAnsiTheme="minorEastAsia"/>
          <w:b/>
          <w:bCs/>
          <w:kern w:val="0"/>
          <w:sz w:val="24"/>
          <w:szCs w:val="24"/>
        </w:rPr>
        <w:t>四、其他事项</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1．证书必须是大学学习期间取得的证书。</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2．证书认定范围为取得证书的考试学期及之后相应课程的成绩认定，取得证书的考试学期之前的成绩一律不予认定。</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3．若等级证书需认定多学期相应课程成绩，须按学期分别申请，并办理好所认定学期该门课程的免修手续。</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4．学生取得证书后可以申请免修、免试该门课程，也可以继续学习该课程。</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5．如果取得的证书成绩高于课程考核成绩，可用证书成绩认定该门课程当期成绩。</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6．其他证书的认定可参照执行。</w:t>
      </w:r>
    </w:p>
    <w:p>
      <w:pPr>
        <w:spacing w:line="360" w:lineRule="auto"/>
        <w:ind w:firstLine="480" w:firstLineChars="200"/>
        <w:rPr>
          <w:rFonts w:cs="宋体" w:asciiTheme="minorEastAsia" w:hAnsiTheme="minorEastAsia"/>
          <w:bCs/>
          <w:kern w:val="0"/>
          <w:sz w:val="24"/>
          <w:szCs w:val="24"/>
        </w:rPr>
      </w:pPr>
      <w:r>
        <w:rPr>
          <w:rFonts w:hint="eastAsia" w:cs="宋体" w:asciiTheme="minorEastAsia" w:hAnsiTheme="minorEastAsia"/>
          <w:bCs/>
          <w:kern w:val="0"/>
          <w:sz w:val="24"/>
          <w:szCs w:val="24"/>
        </w:rPr>
        <w:t>7．本办法自2015届毕业生起执行，由教务处负责解释。</w:t>
      </w: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2014年6月25日</w:t>
      </w:r>
    </w:p>
    <w:p>
      <w:pPr>
        <w:spacing w:line="560" w:lineRule="exact"/>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w:t>
      </w:r>
    </w:p>
    <w:p>
      <w:pPr>
        <w:spacing w:line="560" w:lineRule="exact"/>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计算机辅助普通话水平测试管理办法</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内师院发〔2013〕75</w:t>
      </w:r>
    </w:p>
    <w:p>
      <w:pPr>
        <w:spacing w:line="440" w:lineRule="exact"/>
        <w:ind w:firstLine="600" w:firstLineChars="200"/>
        <w:rPr>
          <w:rFonts w:ascii="宋体" w:hAnsi="宋体" w:cs="Tahoma"/>
          <w:color w:val="000000"/>
          <w:sz w:val="30"/>
          <w:szCs w:val="30"/>
        </w:rPr>
      </w:pPr>
    </w:p>
    <w:p>
      <w:pPr>
        <w:pStyle w:val="10"/>
        <w:tabs>
          <w:tab w:val="left" w:pos="2880"/>
        </w:tabs>
        <w:spacing w:before="0" w:beforeAutospacing="0" w:after="0" w:afterAutospacing="0" w:line="360" w:lineRule="auto"/>
        <w:ind w:firstLine="480" w:firstLineChars="200"/>
        <w:jc w:val="both"/>
        <w:rPr>
          <w:rFonts w:asciiTheme="minorEastAsia" w:hAnsiTheme="minorEastAsia" w:eastAsiaTheme="minorEastAsia"/>
        </w:rPr>
      </w:pPr>
      <w:r>
        <w:rPr>
          <w:rFonts w:asciiTheme="minorEastAsia" w:hAnsiTheme="minorEastAsia" w:eastAsiaTheme="minorEastAsia"/>
        </w:rPr>
        <w:t>为进一步推动普通话水平测试工作科学发展</w:t>
      </w:r>
      <w:r>
        <w:rPr>
          <w:rFonts w:hint="eastAsia" w:asciiTheme="minorEastAsia" w:hAnsiTheme="minorEastAsia" w:eastAsiaTheme="minorEastAsia"/>
        </w:rPr>
        <w:t>，促进其科学规范、健康发展，根据教育部《普通话水平测试管理规定》（教育部令第 16 号）、</w:t>
      </w:r>
      <w:r>
        <w:rPr>
          <w:rFonts w:asciiTheme="minorEastAsia" w:hAnsiTheme="minorEastAsia" w:eastAsiaTheme="minorEastAsia"/>
        </w:rPr>
        <w:t>《四川省普通话水平测试工作管理办法》(川语办</w:t>
      </w:r>
      <w:r>
        <w:rPr>
          <w:rFonts w:hint="eastAsia" w:asciiTheme="minorEastAsia" w:hAnsiTheme="minorEastAsia" w:eastAsiaTheme="minorEastAsia"/>
        </w:rPr>
        <w:t>【19</w:t>
      </w:r>
      <w:r>
        <w:rPr>
          <w:rFonts w:asciiTheme="minorEastAsia" w:hAnsiTheme="minorEastAsia" w:eastAsiaTheme="minorEastAsia"/>
        </w:rPr>
        <w:t>96</w:t>
      </w:r>
      <w:r>
        <w:rPr>
          <w:rFonts w:hint="eastAsia" w:asciiTheme="minorEastAsia" w:hAnsiTheme="minorEastAsia" w:eastAsiaTheme="minorEastAsia"/>
        </w:rPr>
        <w:t>】</w:t>
      </w:r>
      <w:r>
        <w:rPr>
          <w:rFonts w:asciiTheme="minorEastAsia" w:hAnsiTheme="minorEastAsia" w:eastAsiaTheme="minorEastAsia"/>
        </w:rPr>
        <w:t>9号</w:t>
      </w:r>
      <w:r>
        <w:rPr>
          <w:rFonts w:hint="eastAsia" w:asciiTheme="minorEastAsia" w:hAnsiTheme="minorEastAsia" w:eastAsiaTheme="minorEastAsia"/>
        </w:rPr>
        <w:t>)、</w:t>
      </w:r>
      <w:r>
        <w:rPr>
          <w:rFonts w:asciiTheme="minorEastAsia" w:hAnsiTheme="minorEastAsia" w:eastAsiaTheme="minorEastAsia"/>
        </w:rPr>
        <w:t>《教育部语用司关于推进计算机辅助普通话水平测试工作等有关问题的通知》（教语用司函</w:t>
      </w:r>
      <w:r>
        <w:rPr>
          <w:rFonts w:hint="eastAsia" w:asciiTheme="minorEastAsia" w:hAnsiTheme="minorEastAsia" w:eastAsiaTheme="minorEastAsia"/>
        </w:rPr>
        <w:t>【</w:t>
      </w:r>
      <w:r>
        <w:rPr>
          <w:rFonts w:asciiTheme="minorEastAsia" w:hAnsiTheme="minorEastAsia" w:eastAsiaTheme="minorEastAsia"/>
        </w:rPr>
        <w:t>2010</w:t>
      </w:r>
      <w:r>
        <w:rPr>
          <w:rFonts w:hint="eastAsia" w:asciiTheme="minorEastAsia" w:hAnsiTheme="minorEastAsia" w:eastAsiaTheme="minorEastAsia"/>
        </w:rPr>
        <w:t>】</w:t>
      </w:r>
      <w:r>
        <w:rPr>
          <w:rFonts w:asciiTheme="minorEastAsia" w:hAnsiTheme="minorEastAsia" w:eastAsiaTheme="minorEastAsia"/>
        </w:rPr>
        <w:t>72号）</w:t>
      </w:r>
      <w:r>
        <w:rPr>
          <w:rFonts w:hint="eastAsia" w:asciiTheme="minorEastAsia" w:hAnsiTheme="minorEastAsia" w:eastAsiaTheme="minorEastAsia"/>
        </w:rPr>
        <w:t>文件精神，结合我校实际，制定本管理办法。</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一、测试性质</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 xml:space="preserve">1．普通话水平测试是对应测人掌握和运用普通话水平能力的测试和评价。 </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2．普通话水平测试的目的是评定应测人普通话所达到的水平等级。通过测试，促进普通话的普及，并在普及的基础上逐步提高普通话水平。</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二、测试站工作机构</w:t>
      </w:r>
    </w:p>
    <w:p>
      <w:pPr>
        <w:pStyle w:val="1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 1．内江师范学院普通话水平测试站（以下简称：测试站），是经四川省语委批准成立的测试站点。</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2．测试站设在教务处，普通话</w:t>
      </w:r>
      <w:r>
        <w:rPr>
          <w:rFonts w:hint="eastAsia" w:asciiTheme="minorEastAsia" w:hAnsiTheme="minorEastAsia"/>
          <w:sz w:val="24"/>
        </w:rPr>
        <w:t>水平测试</w:t>
      </w:r>
      <w:r>
        <w:rPr>
          <w:rFonts w:hint="eastAsia" w:cs="宋体" w:asciiTheme="minorEastAsia" w:hAnsiTheme="minorEastAsia"/>
          <w:kern w:val="0"/>
          <w:sz w:val="24"/>
        </w:rPr>
        <w:t>工作由学校教务处承担，办公室设在考试管理科，配备专兼职工作人员，负责全校学生的普通话测试工作，做好测试员的遴选、培训、考核工作。</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三、测试站工作职责</w:t>
      </w:r>
    </w:p>
    <w:p>
      <w:pPr>
        <w:widowControl/>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1．贯彻执行《国家通用语言文字法》等有关法规。测试站接受</w:t>
      </w:r>
      <w:r>
        <w:rPr>
          <w:rFonts w:hint="eastAsia" w:asciiTheme="minorEastAsia" w:hAnsiTheme="minorEastAsia"/>
          <w:sz w:val="24"/>
        </w:rPr>
        <w:t>四川</w:t>
      </w:r>
      <w:r>
        <w:rPr>
          <w:rFonts w:hint="eastAsia" w:cs="宋体" w:asciiTheme="minorEastAsia" w:hAnsiTheme="minorEastAsia"/>
          <w:kern w:val="0"/>
          <w:sz w:val="24"/>
        </w:rPr>
        <w:t>省普通话测试中心的业务指导，负责校内教师和学生的普通话水平测试。</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2．加强对普通话水平测试员队伍的建设。测试站负责选送普通话水平达到规定要求的人员参加国家及</w:t>
      </w:r>
      <w:r>
        <w:rPr>
          <w:rFonts w:hint="eastAsia" w:asciiTheme="minorEastAsia" w:hAnsiTheme="minorEastAsia"/>
          <w:sz w:val="24"/>
        </w:rPr>
        <w:t>四川</w:t>
      </w:r>
      <w:r>
        <w:rPr>
          <w:rFonts w:hint="eastAsia" w:cs="宋体" w:asciiTheme="minorEastAsia" w:hAnsiTheme="minorEastAsia"/>
          <w:kern w:val="0"/>
          <w:sz w:val="24"/>
        </w:rPr>
        <w:t>省测试中心组织的普通话水平测试员培训班学习。学员考试合格后，获得相应等级测试员资格证书。</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3、组织普通话测试员的业务学习和培训。测试站负责对测试员的工作考核，考核内容包括工作态度、测试能力、测试工作量、遵守测试工作纪律情况等。对认真履行工作职责的测试员予以表彰，并向</w:t>
      </w:r>
      <w:r>
        <w:rPr>
          <w:rFonts w:hint="eastAsia" w:asciiTheme="minorEastAsia" w:hAnsiTheme="minorEastAsia"/>
          <w:sz w:val="24"/>
        </w:rPr>
        <w:t>四川</w:t>
      </w:r>
      <w:r>
        <w:rPr>
          <w:rFonts w:hint="eastAsia" w:cs="宋体" w:asciiTheme="minorEastAsia" w:hAnsiTheme="minorEastAsia"/>
          <w:kern w:val="0"/>
          <w:sz w:val="24"/>
        </w:rPr>
        <w:t>省语委、</w:t>
      </w:r>
      <w:r>
        <w:rPr>
          <w:rFonts w:hint="eastAsia" w:asciiTheme="minorEastAsia" w:hAnsiTheme="minorEastAsia"/>
          <w:sz w:val="24"/>
        </w:rPr>
        <w:t>四川</w:t>
      </w:r>
      <w:r>
        <w:rPr>
          <w:rFonts w:hint="eastAsia" w:cs="宋体" w:asciiTheme="minorEastAsia" w:hAnsiTheme="minorEastAsia"/>
          <w:kern w:val="0"/>
          <w:sz w:val="24"/>
        </w:rPr>
        <w:t>省普通话测试中心推荐评优，对不认真履行职责的测试员给予批评教育或暂停其测试工作，多次教育无效的，报请上级主管部门取消其测试员资格。</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4．大力推广普通话。开展多种形式的推广普通话活动，将推广普通话活动融入学生课堂教学和课外活动中。</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5．完成</w:t>
      </w:r>
      <w:r>
        <w:rPr>
          <w:rFonts w:hint="eastAsia" w:asciiTheme="minorEastAsia" w:hAnsiTheme="minorEastAsia"/>
          <w:sz w:val="24"/>
        </w:rPr>
        <w:t>四川</w:t>
      </w:r>
      <w:r>
        <w:rPr>
          <w:rFonts w:hint="eastAsia" w:cs="宋体" w:asciiTheme="minorEastAsia" w:hAnsiTheme="minorEastAsia"/>
          <w:kern w:val="0"/>
          <w:sz w:val="24"/>
        </w:rPr>
        <w:t>省语言文字工作委员会和</w:t>
      </w:r>
      <w:r>
        <w:rPr>
          <w:rFonts w:hint="eastAsia" w:asciiTheme="minorEastAsia" w:hAnsiTheme="minorEastAsia"/>
          <w:sz w:val="24"/>
        </w:rPr>
        <w:t>四川</w:t>
      </w:r>
      <w:r>
        <w:rPr>
          <w:rFonts w:hint="eastAsia" w:cs="宋体" w:asciiTheme="minorEastAsia" w:hAnsiTheme="minorEastAsia"/>
          <w:kern w:val="0"/>
          <w:sz w:val="24"/>
        </w:rPr>
        <w:t>省普通话测试中心交办的相关工作。</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四、测试员职责</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1．努力学习国家语言文字工作的方针、政策、法律法规和普通话水平测试、培训的业务知识。</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2．认真学习并严格执行国家语言文字工作委员会颁发的《普通话水平测试等级标准》、《普通话水平测试(PSC)大纲》。</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3．积极参加普通话水平测试工作，服从测试站工作安排及调度。测试员应带头使用规范的语言文字，积极推广普通话，积极参与“推广普通话宣传周”活动。</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4．严格遵守“认真负责、团结协作、公正廉洁”的测试工作纪律。在测试工作中，测试员必须挂牌上岗，做到“公正”、“公开”、“公平”。 坚持测试标准，提高测试水平，做到不打人情分，不打随意分，不随意公布测试结果。</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五、测试对象</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本校教师、学生均可报名参加普通话水平测试。</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六、测试的标准、大纲和试卷</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1．普通话水平测试执行国家语言文字工作委员会颁发的《普通话水平测试等级标准》和《普通话水平测试(PSC)大纲》。</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2．普通话水平测试试卷全部由</w:t>
      </w:r>
      <w:r>
        <w:rPr>
          <w:rFonts w:hint="eastAsia" w:asciiTheme="minorEastAsia" w:hAnsiTheme="minorEastAsia"/>
          <w:sz w:val="24"/>
        </w:rPr>
        <w:t>四川</w:t>
      </w:r>
      <w:r>
        <w:rPr>
          <w:rFonts w:hint="eastAsia" w:cs="宋体" w:asciiTheme="minorEastAsia" w:hAnsiTheme="minorEastAsia"/>
          <w:kern w:val="0"/>
          <w:sz w:val="24"/>
        </w:rPr>
        <w:t>省普通话水平测试中心提供，由测试站派专人负责领取、保管，并做好试卷的保密工作。</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七、成绩及证书管理</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1．测试结束，测试站将普通话测试成绩的信息上报</w:t>
      </w:r>
      <w:r>
        <w:rPr>
          <w:rFonts w:hint="eastAsia" w:asciiTheme="minorEastAsia" w:hAnsiTheme="minorEastAsia"/>
          <w:sz w:val="24"/>
        </w:rPr>
        <w:t>四川</w:t>
      </w:r>
      <w:r>
        <w:rPr>
          <w:rFonts w:hint="eastAsia" w:cs="宋体" w:asciiTheme="minorEastAsia" w:hAnsiTheme="minorEastAsia"/>
          <w:kern w:val="0"/>
          <w:sz w:val="24"/>
        </w:rPr>
        <w:t>省普通话培训测试中心，经审定后，由测试站保存。　　</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2．《普通话测试等级证书》由国家语言文字工作委员会统一印制，由</w:t>
      </w:r>
      <w:r>
        <w:rPr>
          <w:rFonts w:hint="eastAsia" w:asciiTheme="minorEastAsia" w:hAnsiTheme="minorEastAsia"/>
          <w:sz w:val="24"/>
        </w:rPr>
        <w:t>四川</w:t>
      </w:r>
      <w:r>
        <w:rPr>
          <w:rFonts w:hint="eastAsia" w:cs="宋体" w:asciiTheme="minorEastAsia" w:hAnsiTheme="minorEastAsia"/>
          <w:kern w:val="0"/>
          <w:sz w:val="24"/>
        </w:rPr>
        <w:t>省普通话水平测试中心统一编号，全国通用。等级证书遗失，不能补办，须重新测试。</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3．普通话等级分一、二、三级，每个级别分为甲、乙两个等次。测试成绩，须经</w:t>
      </w:r>
      <w:r>
        <w:rPr>
          <w:rFonts w:hint="eastAsia" w:asciiTheme="minorEastAsia" w:hAnsiTheme="minorEastAsia"/>
          <w:sz w:val="24"/>
        </w:rPr>
        <w:t>四川</w:t>
      </w:r>
      <w:r>
        <w:rPr>
          <w:rFonts w:hint="eastAsia" w:cs="宋体" w:asciiTheme="minorEastAsia" w:hAnsiTheme="minorEastAsia"/>
          <w:kern w:val="0"/>
          <w:sz w:val="24"/>
        </w:rPr>
        <w:t>省普通话测试中心复审认定合格后，颁发相应等级的《普通话测试等级证书》。</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八、测试时间及地点</w:t>
      </w:r>
    </w:p>
    <w:p>
      <w:pPr>
        <w:widowControl/>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1．国家普通话水平测试全部实行计算机辅助测试，每学年组织两次报名测试，即上学期下学期各组织一次，测试前一个月组织报名，报名采取网上报名或其他形式，逾期报名或逾期缴费者概不受理。</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2．计算机辅助普通话水平测试地点设在现代教育技术中心机房，考场应包含候测室、备测室、测试室等场所，测试环境整洁肃静，标志明显，在醒目处张贴计算机辅助普通话水平测试考务规程、考生注意事项、考务细则等规定。</w:t>
      </w:r>
    </w:p>
    <w:p>
      <w:pPr>
        <w:widowControl/>
        <w:spacing w:line="360" w:lineRule="auto"/>
        <w:ind w:firstLine="482" w:firstLineChars="200"/>
        <w:rPr>
          <w:rFonts w:cs="宋体" w:asciiTheme="minorEastAsia" w:hAnsiTheme="minorEastAsia"/>
          <w:b/>
          <w:color w:val="000000"/>
          <w:kern w:val="0"/>
          <w:sz w:val="24"/>
        </w:rPr>
      </w:pPr>
      <w:r>
        <w:rPr>
          <w:rFonts w:hint="eastAsia" w:cs="宋体" w:asciiTheme="minorEastAsia" w:hAnsiTheme="minorEastAsia"/>
          <w:b/>
          <w:color w:val="000000"/>
          <w:kern w:val="0"/>
          <w:sz w:val="24"/>
        </w:rPr>
        <w:t>九、收费标准及管理</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1．根据四川省财政厅《关于规范全省教育系统考试考务行政事业性收费的通知》（川发改价格</w:t>
      </w:r>
      <w:r>
        <w:rPr>
          <w:rFonts w:hint="eastAsia" w:asciiTheme="minorEastAsia" w:hAnsiTheme="minorEastAsia"/>
          <w:sz w:val="24"/>
        </w:rPr>
        <w:t>【</w:t>
      </w:r>
      <w:r>
        <w:rPr>
          <w:rFonts w:hint="eastAsia" w:cs="宋体" w:asciiTheme="minorEastAsia" w:hAnsiTheme="minorEastAsia"/>
          <w:kern w:val="0"/>
          <w:sz w:val="24"/>
        </w:rPr>
        <w:t>2012</w:t>
      </w:r>
      <w:r>
        <w:rPr>
          <w:rFonts w:hint="eastAsia" w:asciiTheme="minorEastAsia" w:hAnsiTheme="minorEastAsia"/>
          <w:sz w:val="24"/>
        </w:rPr>
        <w:t>】</w:t>
      </w:r>
      <w:r>
        <w:rPr>
          <w:rFonts w:hint="eastAsia" w:cs="宋体" w:asciiTheme="minorEastAsia" w:hAnsiTheme="minorEastAsia"/>
          <w:kern w:val="0"/>
          <w:sz w:val="24"/>
        </w:rPr>
        <w:t>641号）文件要求，在校学生每人每次测试费25元；教师、其他测试人员每人每次测试费50元；测试管理费按25%的比例上缴到</w:t>
      </w:r>
      <w:r>
        <w:rPr>
          <w:rFonts w:hint="eastAsia" w:asciiTheme="minorEastAsia" w:hAnsiTheme="minorEastAsia"/>
          <w:sz w:val="24"/>
        </w:rPr>
        <w:t>四川</w:t>
      </w:r>
      <w:r>
        <w:rPr>
          <w:rFonts w:hint="eastAsia" w:cs="宋体" w:asciiTheme="minorEastAsia" w:hAnsiTheme="minorEastAsia"/>
          <w:kern w:val="0"/>
          <w:sz w:val="24"/>
        </w:rPr>
        <w:t>省普通话水平测试中心，</w:t>
      </w:r>
      <w:r>
        <w:rPr>
          <w:rFonts w:hint="eastAsia" w:asciiTheme="minorEastAsia" w:hAnsiTheme="minorEastAsia"/>
          <w:sz w:val="24"/>
        </w:rPr>
        <w:t>四川</w:t>
      </w:r>
      <w:r>
        <w:rPr>
          <w:rFonts w:hint="eastAsia" w:cs="宋体" w:asciiTheme="minorEastAsia" w:hAnsiTheme="minorEastAsia"/>
          <w:kern w:val="0"/>
          <w:sz w:val="24"/>
        </w:rPr>
        <w:t>省普通话水平测试中心负责印制国家普通话水平等级证书。</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2.根据</w:t>
      </w:r>
      <w:r>
        <w:rPr>
          <w:rFonts w:asciiTheme="minorEastAsia" w:hAnsiTheme="minorEastAsia"/>
          <w:sz w:val="24"/>
        </w:rPr>
        <w:t>《教育部语用司关于推进计算机辅助普通话水平测试工作等有关问题的通知》（教语用司函</w:t>
      </w:r>
      <w:r>
        <w:rPr>
          <w:rFonts w:hint="eastAsia" w:asciiTheme="minorEastAsia" w:hAnsiTheme="minorEastAsia"/>
          <w:sz w:val="24"/>
        </w:rPr>
        <w:t>【</w:t>
      </w:r>
      <w:r>
        <w:rPr>
          <w:rFonts w:asciiTheme="minorEastAsia" w:hAnsiTheme="minorEastAsia"/>
          <w:sz w:val="24"/>
        </w:rPr>
        <w:t>2010</w:t>
      </w:r>
      <w:r>
        <w:rPr>
          <w:rFonts w:hint="eastAsia" w:asciiTheme="minorEastAsia" w:hAnsiTheme="minorEastAsia"/>
          <w:sz w:val="24"/>
        </w:rPr>
        <w:t>】</w:t>
      </w:r>
      <w:r>
        <w:rPr>
          <w:rFonts w:asciiTheme="minorEastAsia" w:hAnsiTheme="minorEastAsia"/>
          <w:sz w:val="24"/>
        </w:rPr>
        <w:t>72号）</w:t>
      </w:r>
      <w:r>
        <w:rPr>
          <w:rFonts w:hint="eastAsia" w:asciiTheme="minorEastAsia" w:hAnsiTheme="minorEastAsia"/>
          <w:sz w:val="24"/>
        </w:rPr>
        <w:t>文件</w:t>
      </w:r>
      <w:r>
        <w:rPr>
          <w:rFonts w:hint="eastAsia" w:cs="宋体" w:asciiTheme="minorEastAsia" w:hAnsiTheme="minorEastAsia"/>
          <w:kern w:val="0"/>
          <w:sz w:val="24"/>
        </w:rPr>
        <w:t>要求</w:t>
      </w:r>
      <w:r>
        <w:rPr>
          <w:rFonts w:hint="eastAsia" w:asciiTheme="minorEastAsia" w:hAnsiTheme="minorEastAsia"/>
          <w:sz w:val="24"/>
        </w:rPr>
        <w:t>，</w:t>
      </w:r>
      <w:r>
        <w:rPr>
          <w:rFonts w:hint="eastAsia" w:cs="宋体" w:asciiTheme="minorEastAsia" w:hAnsiTheme="minorEastAsia"/>
          <w:kern w:val="0"/>
          <w:sz w:val="24"/>
        </w:rPr>
        <w:t>实施计算机辅助普通话水平测试的考点，统一按照3.5元/人次的标准收取技术服务费。</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3．测试费用由学校计划财务处代管，实行专款专用，并接受学校相关单位的监督和审计。测试费用于支付普通话证书办证费和组织测试的相关费用。</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4．本办法自颁发之日起执行，由测试站负责解释。</w:t>
      </w:r>
    </w:p>
    <w:p>
      <w:pPr>
        <w:widowControl/>
        <w:spacing w:line="360" w:lineRule="auto"/>
        <w:ind w:firstLine="480" w:firstLineChars="200"/>
        <w:jc w:val="left"/>
        <w:rPr>
          <w:rFonts w:cs="宋体" w:asciiTheme="minorEastAsia" w:hAnsiTheme="minorEastAsia"/>
          <w:kern w:val="0"/>
          <w:sz w:val="24"/>
        </w:rPr>
      </w:pPr>
    </w:p>
    <w:p>
      <w:pPr>
        <w:widowControl/>
        <w:spacing w:line="360" w:lineRule="auto"/>
        <w:ind w:firstLine="480" w:firstLineChars="200"/>
        <w:jc w:val="left"/>
        <w:rPr>
          <w:rFonts w:cs="宋体" w:asciiTheme="minorEastAsia" w:hAnsiTheme="minorEastAsia"/>
          <w:kern w:val="0"/>
          <w:sz w:val="24"/>
        </w:rPr>
      </w:pPr>
    </w:p>
    <w:p>
      <w:pPr>
        <w:widowControl/>
        <w:spacing w:line="360" w:lineRule="auto"/>
        <w:ind w:firstLine="480" w:firstLineChars="200"/>
        <w:jc w:val="right"/>
        <w:rPr>
          <w:rFonts w:cs="宋体" w:asciiTheme="minorEastAsia" w:hAnsiTheme="minorEastAsia"/>
          <w:kern w:val="0"/>
          <w:sz w:val="24"/>
        </w:rPr>
      </w:pPr>
    </w:p>
    <w:p>
      <w:pPr>
        <w:spacing w:line="360" w:lineRule="auto"/>
        <w:jc w:val="right"/>
        <w:rPr>
          <w:rFonts w:asciiTheme="minorEastAsia" w:hAnsiTheme="minorEastAsia"/>
          <w:sz w:val="24"/>
        </w:rPr>
      </w:pPr>
      <w:r>
        <w:rPr>
          <w:rFonts w:hint="eastAsia" w:asciiTheme="minorEastAsia" w:hAnsiTheme="minorEastAsia"/>
          <w:sz w:val="24"/>
        </w:rPr>
        <w:t>2013年6月19日</w:t>
      </w: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内江师范学院</w:t>
      </w:r>
    </w:p>
    <w:p>
      <w:pPr>
        <w:spacing w:line="560" w:lineRule="exact"/>
        <w:ind w:firstLine="643" w:firstLineChars="200"/>
        <w:jc w:val="center"/>
        <w:rPr>
          <w:rFonts w:asciiTheme="minorEastAsia" w:hAnsiTheme="minorEastAsia"/>
          <w:b/>
          <w:sz w:val="32"/>
          <w:szCs w:val="32"/>
        </w:rPr>
      </w:pPr>
      <w:r>
        <w:rPr>
          <w:rFonts w:hint="eastAsia" w:asciiTheme="minorEastAsia" w:hAnsiTheme="minorEastAsia"/>
          <w:b/>
          <w:sz w:val="32"/>
          <w:szCs w:val="32"/>
        </w:rPr>
        <w:t>关于教授、副教授为本科生上课的规定</w:t>
      </w:r>
    </w:p>
    <w:p>
      <w:pPr>
        <w:spacing w:line="560" w:lineRule="exact"/>
        <w:ind w:firstLine="562" w:firstLineChars="200"/>
        <w:jc w:val="center"/>
        <w:rPr>
          <w:rFonts w:asciiTheme="minorEastAsia" w:hAnsiTheme="minorEastAsia"/>
          <w:b/>
          <w:sz w:val="28"/>
          <w:szCs w:val="28"/>
        </w:rPr>
      </w:pPr>
      <w:r>
        <w:rPr>
          <w:rFonts w:hint="eastAsia" w:asciiTheme="minorEastAsia" w:hAnsiTheme="minorEastAsia"/>
          <w:b/>
          <w:sz w:val="28"/>
          <w:szCs w:val="28"/>
        </w:rPr>
        <w:t>内师院发〔2014〕78号</w:t>
      </w:r>
    </w:p>
    <w:p>
      <w:pPr>
        <w:spacing w:line="380" w:lineRule="exact"/>
        <w:ind w:firstLine="360" w:firstLineChars="200"/>
        <w:rPr>
          <w:rFonts w:asciiTheme="minorEastAsia" w:hAnsiTheme="minorEastAsia"/>
          <w:sz w:val="18"/>
          <w:szCs w:val="18"/>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为贯彻《国务院关于加强教师队伍建设的意见》（国发〔2012〕41号）和《教育部关于全面提高高等教育质量的若干意见》（教高〔2012〕4号 ）等文件精神，进一步加强我校本科教学工作，保证教授、副教授在教学第一线为本科生上课，提高本科教学质量，特就教授、副教授为本科生上课作如下规定。</w:t>
      </w:r>
    </w:p>
    <w:p>
      <w:pPr>
        <w:spacing w:line="360" w:lineRule="auto"/>
        <w:rPr>
          <w:rFonts w:asciiTheme="minorEastAsia" w:hAnsiTheme="minorEastAsia"/>
          <w:sz w:val="24"/>
          <w:szCs w:val="24"/>
        </w:rPr>
      </w:pPr>
      <w:r>
        <w:rPr>
          <w:rFonts w:hint="eastAsia" w:asciiTheme="minorEastAsia" w:hAnsiTheme="minorEastAsia"/>
          <w:sz w:val="24"/>
          <w:szCs w:val="24"/>
        </w:rPr>
        <w:t>　　一、教授、副教授每年必须为本科生至少讲授1门课程。学校鼓励教授、副教授为本科生讲授基础课或专业基础课，鼓励为本科生开设选修课。同时，鼓励教授开设新生研讨课，激发学生专业兴趣和学习动力。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各教学单位要认真学习和贯彻教育部有关文件精神，采取有效措施，保证优秀教师工作在教学第一线。在安排教学任务时，应合理安排教学时间，确保教授、副教授承担教学工作。“双肩挑”的教授、副教授也应承担本科教学任务。具体参照《内江师范学院关于“双肩挑”人员上课暂行规定》（内师院发〔2013〕49号）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三、每年未承担本科生教学工作的教授，停发当年教授特殊津贴。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四、每年未承担本科生教学工作的副教授，在晋升教授时扣除相应的任职年限。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确有特殊原因，如出国、进修一年及以上、或因健康或其他原因等，某一年无法为本科生授课的教授、副教授，须事先向所在教学单位提出书面申请，经所在教学单位审核，教务处、人事处批准，方可不承担本科教学任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六、学校将各二级学院（部）对教授、副教授安排教学任务，纳入当年目标考核工作中。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七、每学期结束前，各教学单位要认真填写《内江师范学院教授、副教授为本科生上课情况一览表、统计表》，将教学业务隶属本教学单位的教授、副教授（含“双肩挑”人员）为本科生开课情况报教务处、人事处备案，作为对教授、副教授进行年终考核的重要依据。</w:t>
      </w:r>
    </w:p>
    <w:p>
      <w:pPr>
        <w:spacing w:line="360" w:lineRule="auto"/>
        <w:rPr>
          <w:rFonts w:asciiTheme="minorEastAsia" w:hAnsiTheme="minorEastAsia"/>
          <w:sz w:val="24"/>
          <w:szCs w:val="24"/>
        </w:rPr>
      </w:pPr>
      <w:r>
        <w:rPr>
          <w:rFonts w:hint="eastAsia" w:asciiTheme="minorEastAsia" w:hAnsiTheme="minorEastAsia"/>
          <w:sz w:val="24"/>
          <w:szCs w:val="24"/>
        </w:rPr>
        <w:t>　　八、教授、副教授为本科学生上课将作为学校加强本科教学工作的一项制度长期坚持。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九、本规定自发文之日起执行，由教务处、人事处负责解释。</w:t>
      </w: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2014年6月25日</w:t>
      </w:r>
    </w:p>
    <w:p>
      <w:pPr>
        <w:spacing w:line="560" w:lineRule="exact"/>
        <w:jc w:val="center"/>
        <w:rPr>
          <w:rFonts w:ascii="宋体" w:hAnsi="宋体"/>
          <w:b/>
          <w:sz w:val="32"/>
          <w:szCs w:val="32"/>
        </w:rPr>
      </w:pPr>
      <w:r>
        <w:rPr>
          <w:rFonts w:hint="eastAsia" w:ascii="宋体" w:hAnsi="宋体"/>
          <w:b/>
          <w:sz w:val="32"/>
          <w:szCs w:val="32"/>
        </w:rPr>
        <w:t>内江师范学院教学团队建设管理办法</w:t>
      </w:r>
    </w:p>
    <w:p>
      <w:pPr>
        <w:spacing w:line="560" w:lineRule="exact"/>
        <w:jc w:val="center"/>
        <w:rPr>
          <w:b/>
          <w:sz w:val="28"/>
          <w:szCs w:val="28"/>
        </w:rPr>
      </w:pPr>
      <w:r>
        <w:rPr>
          <w:b/>
          <w:sz w:val="28"/>
          <w:szCs w:val="28"/>
        </w:rPr>
        <w:t>内师教</w:t>
      </w:r>
      <w:r>
        <w:rPr>
          <w:rFonts w:hint="eastAsia"/>
          <w:b/>
          <w:sz w:val="28"/>
          <w:szCs w:val="28"/>
        </w:rPr>
        <w:t>字〔2009〕56</w:t>
      </w:r>
      <w:r>
        <w:rPr>
          <w:b/>
          <w:sz w:val="28"/>
          <w:szCs w:val="28"/>
        </w:rPr>
        <w:t>号</w:t>
      </w:r>
    </w:p>
    <w:p>
      <w:pPr>
        <w:spacing w:line="560" w:lineRule="exact"/>
        <w:ind w:left="465"/>
        <w:jc w:val="center"/>
        <w:rPr>
          <w:b/>
          <w:sz w:val="22"/>
          <w:szCs w:val="32"/>
        </w:rPr>
      </w:pPr>
    </w:p>
    <w:p>
      <w:pPr>
        <w:spacing w:line="360" w:lineRule="auto"/>
        <w:ind w:left="465"/>
        <w:jc w:val="center"/>
        <w:rPr>
          <w:rFonts w:ascii="宋体" w:hAnsi="宋体"/>
          <w:b/>
          <w:sz w:val="24"/>
        </w:rPr>
      </w:pPr>
      <w:r>
        <w:rPr>
          <w:rFonts w:ascii="宋体" w:hAnsi="宋体"/>
          <w:b/>
          <w:sz w:val="24"/>
        </w:rPr>
        <w:t>第一章  总  则</w:t>
      </w:r>
    </w:p>
    <w:p>
      <w:pPr>
        <w:spacing w:line="360" w:lineRule="auto"/>
        <w:ind w:firstLine="460" w:firstLineChars="192"/>
        <w:rPr>
          <w:rFonts w:ascii="宋体" w:hAnsi="宋体"/>
          <w:sz w:val="24"/>
        </w:rPr>
      </w:pPr>
      <w:r>
        <w:rPr>
          <w:rFonts w:ascii="宋体" w:hAnsi="宋体"/>
          <w:sz w:val="24"/>
        </w:rPr>
        <w:t>第一条</w:t>
      </w:r>
      <w:r>
        <w:rPr>
          <w:rFonts w:ascii="宋体" w:hAnsi="宋体"/>
          <w:b/>
          <w:sz w:val="24"/>
        </w:rPr>
        <w:t xml:space="preserve"> </w:t>
      </w:r>
      <w:r>
        <w:rPr>
          <w:rFonts w:ascii="宋体" w:hAnsi="宋体"/>
          <w:sz w:val="24"/>
        </w:rPr>
        <w:t>为贯彻落实教育部、财政部《关于实施高等学校本科教学质量与教学改革工程的意见》（教高〔2007〕1号）和教育部《关于进一步深化本科教学改革全面提高教学质量的若干意见》（教高〔2007〕2号）</w:t>
      </w:r>
      <w:r>
        <w:rPr>
          <w:rFonts w:hint="eastAsia" w:ascii="宋体" w:hAnsi="宋体"/>
          <w:sz w:val="24"/>
        </w:rPr>
        <w:t>等</w:t>
      </w:r>
      <w:r>
        <w:rPr>
          <w:rFonts w:ascii="宋体" w:hAnsi="宋体"/>
          <w:sz w:val="24"/>
        </w:rPr>
        <w:t>文件精神，加强以教师为主体的优秀教学团队建设工作，特制定本办法。</w:t>
      </w:r>
    </w:p>
    <w:p>
      <w:pPr>
        <w:spacing w:line="360" w:lineRule="auto"/>
        <w:ind w:firstLine="460" w:firstLineChars="192"/>
        <w:rPr>
          <w:rFonts w:ascii="宋体" w:hAnsi="宋体"/>
          <w:sz w:val="24"/>
        </w:rPr>
      </w:pPr>
      <w:r>
        <w:rPr>
          <w:rFonts w:ascii="宋体" w:hAnsi="宋体"/>
          <w:sz w:val="24"/>
        </w:rPr>
        <w:t>第二条 优秀教学团队是指以教学名师、知名教授为带头人，以教授、副教授为主体，以教研室、研究所、实验室、教学基地、实训中心等为建设单位，以课程（群）或专业为建设平台，在多年的教学改革与实践中形成的，具有明确的发展目标</w:t>
      </w:r>
      <w:r>
        <w:rPr>
          <w:rFonts w:hint="eastAsia" w:ascii="宋体" w:hAnsi="宋体"/>
          <w:sz w:val="24"/>
        </w:rPr>
        <w:t>，</w:t>
      </w:r>
      <w:r>
        <w:rPr>
          <w:rFonts w:ascii="宋体" w:hAnsi="宋体"/>
          <w:sz w:val="24"/>
        </w:rPr>
        <w:t>良好的合作精神，年龄、职称、学缘和知识结构合理的教学业务组合。</w:t>
      </w:r>
    </w:p>
    <w:p>
      <w:pPr>
        <w:spacing w:line="360" w:lineRule="auto"/>
        <w:ind w:firstLine="480" w:firstLineChars="200"/>
        <w:rPr>
          <w:rFonts w:ascii="宋体" w:hAnsi="宋体"/>
          <w:sz w:val="24"/>
        </w:rPr>
      </w:pPr>
      <w:r>
        <w:rPr>
          <w:rFonts w:ascii="宋体" w:hAnsi="宋体"/>
          <w:sz w:val="24"/>
        </w:rPr>
        <w:t>第三条</w:t>
      </w:r>
      <w:r>
        <w:rPr>
          <w:rFonts w:hint="eastAsia" w:ascii="宋体" w:hAnsi="宋体"/>
          <w:sz w:val="24"/>
        </w:rPr>
        <w:t xml:space="preserve"> </w:t>
      </w:r>
      <w:r>
        <w:rPr>
          <w:rFonts w:ascii="宋体" w:hAnsi="宋体"/>
          <w:sz w:val="24"/>
        </w:rPr>
        <w:t>教学团队作为课程建设和专业建设的重要组织，其目的在于落实“质量工程”，强化质量意识，深化教学改革，促进教学研讨与教学经验交流，开发教学资源，推进教育创新，规范教学管理，切实提高教学质量，加强课程建设和专业建设，培养具有创新精神和实践能力的高素质人才，同时推进教学工作的老中青相结合，发扬传、帮、带的作用，培养可持续发展的教学队伍。</w:t>
      </w:r>
    </w:p>
    <w:p>
      <w:pPr>
        <w:spacing w:line="360" w:lineRule="auto"/>
        <w:ind w:firstLine="460" w:firstLineChars="192"/>
        <w:rPr>
          <w:rFonts w:ascii="宋体" w:hAnsi="宋体"/>
          <w:sz w:val="24"/>
        </w:rPr>
      </w:pPr>
      <w:r>
        <w:rPr>
          <w:rFonts w:ascii="宋体" w:hAnsi="宋体"/>
          <w:sz w:val="24"/>
        </w:rPr>
        <w:t>第四条 学校计划构建“三级”教学团队，即校级、省级和国家级教学团队。同时，学校鼓励各二级学院</w:t>
      </w:r>
      <w:r>
        <w:rPr>
          <w:rFonts w:hint="eastAsia" w:ascii="宋体" w:hAnsi="宋体"/>
          <w:sz w:val="24"/>
        </w:rPr>
        <w:t>（部）</w:t>
      </w:r>
      <w:r>
        <w:rPr>
          <w:rFonts w:ascii="宋体" w:hAnsi="宋体"/>
          <w:sz w:val="24"/>
        </w:rPr>
        <w:t>自主组建和建设院级教学团队。教学团队将重点围绕通识教育课程（群）、专业主干（大类）教育课程（群）和实践教学环节（实践教学、学科竞赛等）建设与实施组建。</w:t>
      </w:r>
    </w:p>
    <w:p>
      <w:pPr>
        <w:spacing w:line="360" w:lineRule="auto"/>
        <w:ind w:left="360"/>
        <w:jc w:val="center"/>
        <w:rPr>
          <w:rFonts w:ascii="宋体" w:hAnsi="宋体"/>
          <w:b/>
          <w:sz w:val="24"/>
        </w:rPr>
      </w:pPr>
      <w:r>
        <w:rPr>
          <w:rFonts w:ascii="宋体" w:hAnsi="宋体"/>
          <w:b/>
          <w:sz w:val="24"/>
        </w:rPr>
        <w:t>第二章   教学团队的申报与立项</w:t>
      </w:r>
    </w:p>
    <w:p>
      <w:pPr>
        <w:spacing w:line="360" w:lineRule="auto"/>
        <w:ind w:firstLine="480" w:firstLineChars="200"/>
        <w:rPr>
          <w:rFonts w:ascii="宋体" w:hAnsi="宋体"/>
          <w:color w:val="000000"/>
          <w:sz w:val="24"/>
        </w:rPr>
      </w:pPr>
      <w:r>
        <w:rPr>
          <w:rFonts w:ascii="宋体" w:hAnsi="宋体"/>
          <w:color w:val="000000"/>
          <w:sz w:val="24"/>
        </w:rPr>
        <w:t>第五条 教学团队以专业教研室</w:t>
      </w:r>
      <w:r>
        <w:rPr>
          <w:rFonts w:hint="eastAsia" w:ascii="宋体" w:hAnsi="宋体"/>
          <w:color w:val="000000"/>
          <w:sz w:val="24"/>
        </w:rPr>
        <w:t>、实验室等</w:t>
      </w:r>
      <w:r>
        <w:rPr>
          <w:rFonts w:ascii="宋体" w:hAnsi="宋体"/>
          <w:color w:val="000000"/>
          <w:sz w:val="24"/>
        </w:rPr>
        <w:t>为基础架构，由各二级学院</w:t>
      </w:r>
      <w:r>
        <w:rPr>
          <w:rFonts w:hint="eastAsia" w:ascii="宋体" w:hAnsi="宋体"/>
          <w:color w:val="000000"/>
          <w:sz w:val="24"/>
        </w:rPr>
        <w:t>（部）</w:t>
      </w:r>
      <w:r>
        <w:rPr>
          <w:rFonts w:ascii="宋体" w:hAnsi="宋体"/>
          <w:color w:val="000000"/>
          <w:sz w:val="24"/>
        </w:rPr>
        <w:t>根据自身实际申报组建，也可以根据实际需要，跨专业（教研室</w:t>
      </w:r>
      <w:r>
        <w:rPr>
          <w:rFonts w:hint="eastAsia" w:ascii="宋体" w:hAnsi="宋体"/>
          <w:color w:val="000000"/>
          <w:sz w:val="24"/>
        </w:rPr>
        <w:t>、实验室等</w:t>
      </w:r>
      <w:r>
        <w:rPr>
          <w:rFonts w:ascii="宋体" w:hAnsi="宋体"/>
          <w:color w:val="000000"/>
          <w:sz w:val="24"/>
        </w:rPr>
        <w:t>）、二级学院</w:t>
      </w:r>
      <w:r>
        <w:rPr>
          <w:rFonts w:hint="eastAsia" w:ascii="宋体" w:hAnsi="宋体"/>
          <w:color w:val="000000"/>
          <w:sz w:val="24"/>
        </w:rPr>
        <w:t>（部）</w:t>
      </w:r>
      <w:r>
        <w:rPr>
          <w:rFonts w:ascii="宋体" w:hAnsi="宋体"/>
          <w:color w:val="000000"/>
          <w:sz w:val="24"/>
        </w:rPr>
        <w:t>组建。</w:t>
      </w:r>
    </w:p>
    <w:p>
      <w:pPr>
        <w:widowControl/>
        <w:spacing w:line="360" w:lineRule="auto"/>
        <w:ind w:firstLine="480" w:firstLineChars="200"/>
        <w:jc w:val="left"/>
        <w:rPr>
          <w:rFonts w:ascii="宋体" w:hAnsi="宋体"/>
          <w:sz w:val="24"/>
        </w:rPr>
      </w:pPr>
      <w:r>
        <w:rPr>
          <w:rFonts w:ascii="宋体" w:hAnsi="宋体"/>
          <w:color w:val="000000"/>
          <w:sz w:val="24"/>
        </w:rPr>
        <w:t xml:space="preserve">第六条  </w:t>
      </w:r>
      <w:r>
        <w:rPr>
          <w:rFonts w:ascii="宋体" w:hAnsi="宋体"/>
          <w:sz w:val="24"/>
        </w:rPr>
        <w:t>教学团队实行团队负责人负责制。团队负责人负责教学团队的申报、团队教研计划的制定和实施、资助经费的支配与管理等事宜。</w:t>
      </w:r>
    </w:p>
    <w:p>
      <w:pPr>
        <w:spacing w:line="360" w:lineRule="auto"/>
        <w:ind w:firstLine="480" w:firstLineChars="200"/>
        <w:rPr>
          <w:rFonts w:ascii="宋体" w:hAnsi="宋体"/>
          <w:sz w:val="24"/>
        </w:rPr>
      </w:pPr>
      <w:r>
        <w:rPr>
          <w:rFonts w:ascii="宋体" w:hAnsi="宋体"/>
          <w:color w:val="000000"/>
          <w:sz w:val="24"/>
        </w:rPr>
        <w:t>第七条  教学团队</w:t>
      </w:r>
      <w:r>
        <w:rPr>
          <w:rFonts w:ascii="宋体" w:hAnsi="宋体"/>
          <w:sz w:val="24"/>
        </w:rPr>
        <w:t>的申报立项</w:t>
      </w:r>
      <w:r>
        <w:rPr>
          <w:rFonts w:hint="eastAsia" w:ascii="宋体" w:hAnsi="宋体"/>
          <w:sz w:val="24"/>
        </w:rPr>
        <w:t>将根据情况</w:t>
      </w:r>
      <w:r>
        <w:rPr>
          <w:rFonts w:ascii="宋体" w:hAnsi="宋体"/>
          <w:color w:val="000000"/>
          <w:sz w:val="24"/>
        </w:rPr>
        <w:t>每</w:t>
      </w:r>
      <w:r>
        <w:rPr>
          <w:rFonts w:hint="eastAsia" w:ascii="宋体" w:hAnsi="宋体"/>
          <w:color w:val="000000"/>
          <w:sz w:val="24"/>
        </w:rPr>
        <w:t>1-3</w:t>
      </w:r>
      <w:r>
        <w:rPr>
          <w:rFonts w:ascii="宋体" w:hAnsi="宋体"/>
          <w:color w:val="000000"/>
          <w:sz w:val="24"/>
        </w:rPr>
        <w:t>年进行</w:t>
      </w:r>
      <w:r>
        <w:rPr>
          <w:rFonts w:hint="eastAsia" w:ascii="宋体" w:hAnsi="宋体"/>
          <w:color w:val="000000"/>
          <w:sz w:val="24"/>
        </w:rPr>
        <w:t>一次</w:t>
      </w:r>
      <w:r>
        <w:rPr>
          <w:rFonts w:ascii="宋体" w:hAnsi="宋体"/>
          <w:color w:val="000000"/>
          <w:sz w:val="24"/>
        </w:rPr>
        <w:t>，</w:t>
      </w:r>
      <w:r>
        <w:rPr>
          <w:rFonts w:ascii="宋体" w:hAnsi="宋体"/>
          <w:sz w:val="24"/>
        </w:rPr>
        <w:t>由学校教务处负责申报的组织工作。具体步骤如下：</w:t>
      </w:r>
    </w:p>
    <w:p>
      <w:pPr>
        <w:numPr>
          <w:ilvl w:val="0"/>
          <w:numId w:val="3"/>
        </w:numPr>
        <w:tabs>
          <w:tab w:val="left" w:pos="0"/>
        </w:tabs>
        <w:spacing w:line="360" w:lineRule="auto"/>
        <w:ind w:left="0" w:firstLine="440"/>
        <w:rPr>
          <w:rFonts w:ascii="宋体" w:hAnsi="宋体"/>
          <w:color w:val="000000"/>
          <w:sz w:val="24"/>
        </w:rPr>
      </w:pPr>
      <w:r>
        <w:rPr>
          <w:rFonts w:ascii="宋体" w:hAnsi="宋体"/>
          <w:color w:val="000000"/>
          <w:sz w:val="24"/>
        </w:rPr>
        <w:t>申报团队填写《内江师范学院教学团队申请表》，并经团队负责人所在二级学院</w:t>
      </w:r>
      <w:r>
        <w:rPr>
          <w:rFonts w:hint="eastAsia" w:ascii="宋体" w:hAnsi="宋体"/>
          <w:color w:val="000000"/>
          <w:sz w:val="24"/>
        </w:rPr>
        <w:t>（部）</w:t>
      </w:r>
      <w:r>
        <w:rPr>
          <w:rFonts w:ascii="宋体" w:hAnsi="宋体"/>
          <w:color w:val="000000"/>
          <w:sz w:val="24"/>
        </w:rPr>
        <w:t>审核后报教务处。</w:t>
      </w:r>
    </w:p>
    <w:p>
      <w:pPr>
        <w:widowControl/>
        <w:adjustRightInd w:val="0"/>
        <w:snapToGrid w:val="0"/>
        <w:spacing w:line="360" w:lineRule="auto"/>
        <w:ind w:firstLine="480" w:firstLineChars="200"/>
        <w:jc w:val="left"/>
        <w:rPr>
          <w:rFonts w:ascii="宋体" w:hAnsi="宋体"/>
          <w:kern w:val="0"/>
          <w:sz w:val="24"/>
        </w:rPr>
      </w:pPr>
      <w:r>
        <w:rPr>
          <w:rFonts w:ascii="宋体" w:hAnsi="宋体"/>
          <w:color w:val="000000"/>
          <w:sz w:val="24"/>
        </w:rPr>
        <w:t>2、</w:t>
      </w:r>
      <w:r>
        <w:rPr>
          <w:rFonts w:ascii="宋体" w:hAnsi="宋体"/>
          <w:sz w:val="24"/>
        </w:rPr>
        <w:t>教务处负责对各二级学院</w:t>
      </w:r>
      <w:r>
        <w:rPr>
          <w:rFonts w:hint="eastAsia" w:ascii="宋体" w:hAnsi="宋体"/>
          <w:color w:val="000000"/>
          <w:sz w:val="24"/>
        </w:rPr>
        <w:t>（部）</w:t>
      </w:r>
      <w:r>
        <w:rPr>
          <w:rFonts w:ascii="宋体" w:hAnsi="宋体"/>
          <w:sz w:val="24"/>
        </w:rPr>
        <w:t>推荐的教学团队进行资格审查。</w:t>
      </w:r>
      <w:r>
        <w:rPr>
          <w:rFonts w:ascii="宋体" w:hAnsi="宋体"/>
          <w:kern w:val="0"/>
          <w:sz w:val="24"/>
        </w:rPr>
        <w:t>通过资格审查后，提交校学术委员会进行评审。</w:t>
      </w:r>
    </w:p>
    <w:p>
      <w:pPr>
        <w:widowControl/>
        <w:numPr>
          <w:ilvl w:val="0"/>
          <w:numId w:val="4"/>
        </w:numPr>
        <w:tabs>
          <w:tab w:val="left" w:pos="0"/>
        </w:tabs>
        <w:adjustRightInd w:val="0"/>
        <w:snapToGrid w:val="0"/>
        <w:spacing w:line="360" w:lineRule="auto"/>
        <w:ind w:left="0" w:firstLine="420"/>
        <w:jc w:val="left"/>
        <w:rPr>
          <w:rFonts w:ascii="宋体" w:hAnsi="宋体"/>
          <w:kern w:val="0"/>
          <w:sz w:val="24"/>
        </w:rPr>
      </w:pPr>
      <w:r>
        <w:rPr>
          <w:rFonts w:ascii="宋体" w:hAnsi="宋体"/>
          <w:kern w:val="0"/>
          <w:sz w:val="24"/>
        </w:rPr>
        <w:t>校学术委员会评审</w:t>
      </w:r>
      <w:r>
        <w:rPr>
          <w:rFonts w:hint="eastAsia" w:ascii="宋体" w:hAnsi="宋体"/>
          <w:kern w:val="0"/>
          <w:sz w:val="24"/>
        </w:rPr>
        <w:t>主要</w:t>
      </w:r>
      <w:r>
        <w:rPr>
          <w:rFonts w:ascii="宋体" w:hAnsi="宋体"/>
          <w:kern w:val="0"/>
          <w:sz w:val="24"/>
        </w:rPr>
        <w:t>采取会议方式进行，会议评审分为查看申报材料、评议和无记名差额投票等步骤。</w:t>
      </w:r>
    </w:p>
    <w:p>
      <w:pPr>
        <w:widowControl/>
        <w:spacing w:line="360" w:lineRule="auto"/>
        <w:ind w:firstLine="480" w:firstLineChars="200"/>
        <w:jc w:val="left"/>
        <w:rPr>
          <w:rFonts w:ascii="宋体" w:hAnsi="宋体"/>
          <w:kern w:val="0"/>
          <w:sz w:val="24"/>
        </w:rPr>
      </w:pPr>
      <w:r>
        <w:rPr>
          <w:rFonts w:ascii="宋体" w:hAnsi="宋体"/>
          <w:kern w:val="0"/>
          <w:sz w:val="24"/>
        </w:rPr>
        <w:t>4、评审通过的校级教学团队，由教务处通过校园网公示一周，无异议后</w:t>
      </w:r>
      <w:r>
        <w:rPr>
          <w:rFonts w:hint="eastAsia" w:ascii="宋体" w:hAnsi="宋体"/>
          <w:kern w:val="0"/>
          <w:sz w:val="24"/>
        </w:rPr>
        <w:t>报</w:t>
      </w:r>
      <w:r>
        <w:rPr>
          <w:rFonts w:ascii="宋体" w:hAnsi="宋体"/>
          <w:kern w:val="0"/>
          <w:sz w:val="24"/>
        </w:rPr>
        <w:t>送</w:t>
      </w:r>
      <w:r>
        <w:rPr>
          <w:rFonts w:hint="eastAsia" w:ascii="宋体" w:hAnsi="宋体"/>
          <w:kern w:val="0"/>
          <w:sz w:val="24"/>
        </w:rPr>
        <w:t>学</w:t>
      </w:r>
      <w:r>
        <w:rPr>
          <w:rFonts w:ascii="宋体" w:hAnsi="宋体"/>
          <w:kern w:val="0"/>
          <w:sz w:val="24"/>
        </w:rPr>
        <w:t>校</w:t>
      </w:r>
      <w:r>
        <w:rPr>
          <w:rFonts w:hint="eastAsia" w:ascii="宋体" w:hAnsi="宋体"/>
          <w:kern w:val="0"/>
          <w:sz w:val="24"/>
        </w:rPr>
        <w:t>院</w:t>
      </w:r>
      <w:r>
        <w:rPr>
          <w:rFonts w:ascii="宋体" w:hAnsi="宋体"/>
          <w:kern w:val="0"/>
          <w:sz w:val="24"/>
        </w:rPr>
        <w:t>长办公会审定。</w:t>
      </w:r>
    </w:p>
    <w:p>
      <w:pPr>
        <w:widowControl/>
        <w:spacing w:line="360" w:lineRule="auto"/>
        <w:ind w:firstLine="480" w:firstLineChars="200"/>
        <w:jc w:val="left"/>
        <w:rPr>
          <w:rFonts w:ascii="宋体" w:hAnsi="宋体"/>
          <w:kern w:val="0"/>
          <w:sz w:val="24"/>
        </w:rPr>
      </w:pPr>
      <w:r>
        <w:rPr>
          <w:rFonts w:ascii="宋体" w:hAnsi="宋体"/>
          <w:kern w:val="0"/>
          <w:sz w:val="24"/>
        </w:rPr>
        <w:t>5、经</w:t>
      </w:r>
      <w:r>
        <w:rPr>
          <w:rFonts w:hint="eastAsia" w:ascii="宋体" w:hAnsi="宋体"/>
          <w:kern w:val="0"/>
          <w:sz w:val="24"/>
        </w:rPr>
        <w:t>学</w:t>
      </w:r>
      <w:r>
        <w:rPr>
          <w:rFonts w:ascii="宋体" w:hAnsi="宋体"/>
          <w:kern w:val="0"/>
          <w:sz w:val="24"/>
        </w:rPr>
        <w:t>校</w:t>
      </w:r>
      <w:r>
        <w:rPr>
          <w:rFonts w:hint="eastAsia" w:ascii="宋体" w:hAnsi="宋体"/>
          <w:kern w:val="0"/>
          <w:sz w:val="24"/>
        </w:rPr>
        <w:t>院</w:t>
      </w:r>
      <w:r>
        <w:rPr>
          <w:rFonts w:ascii="宋体" w:hAnsi="宋体"/>
          <w:kern w:val="0"/>
          <w:sz w:val="24"/>
        </w:rPr>
        <w:t>长办公会审定后的校级教学团队，由学校正式批文下达，并资助建设。</w:t>
      </w:r>
    </w:p>
    <w:p>
      <w:pPr>
        <w:spacing w:line="360" w:lineRule="auto"/>
        <w:jc w:val="center"/>
        <w:rPr>
          <w:rFonts w:ascii="宋体" w:hAnsi="宋体"/>
          <w:b/>
          <w:sz w:val="24"/>
        </w:rPr>
      </w:pPr>
      <w:r>
        <w:rPr>
          <w:rFonts w:ascii="宋体" w:hAnsi="宋体"/>
          <w:b/>
          <w:sz w:val="24"/>
        </w:rPr>
        <w:t xml:space="preserve">第三章   </w:t>
      </w:r>
      <w:r>
        <w:rPr>
          <w:rFonts w:hint="eastAsia" w:ascii="宋体" w:hAnsi="宋体"/>
          <w:b/>
          <w:sz w:val="24"/>
        </w:rPr>
        <w:t>教学</w:t>
      </w:r>
      <w:r>
        <w:rPr>
          <w:rFonts w:ascii="宋体" w:hAnsi="宋体"/>
          <w:b/>
          <w:color w:val="000000"/>
          <w:sz w:val="24"/>
        </w:rPr>
        <w:t>团队建设内容</w:t>
      </w:r>
    </w:p>
    <w:p>
      <w:pPr>
        <w:spacing w:line="360" w:lineRule="auto"/>
        <w:rPr>
          <w:rFonts w:ascii="宋体" w:hAnsi="宋体"/>
          <w:color w:val="000000"/>
          <w:sz w:val="24"/>
        </w:rPr>
      </w:pPr>
      <w:r>
        <w:rPr>
          <w:rFonts w:ascii="宋体" w:hAnsi="宋体"/>
          <w:b/>
          <w:color w:val="000000"/>
          <w:sz w:val="24"/>
        </w:rPr>
        <w:t xml:space="preserve">    </w:t>
      </w:r>
      <w:r>
        <w:rPr>
          <w:rFonts w:ascii="宋体" w:hAnsi="宋体"/>
          <w:color w:val="000000"/>
          <w:sz w:val="24"/>
        </w:rPr>
        <w:t>第八条</w:t>
      </w:r>
      <w:r>
        <w:rPr>
          <w:rFonts w:ascii="宋体" w:hAnsi="宋体"/>
          <w:b/>
          <w:color w:val="000000"/>
          <w:sz w:val="24"/>
        </w:rPr>
        <w:t xml:space="preserve">  </w:t>
      </w:r>
      <w:r>
        <w:rPr>
          <w:rFonts w:ascii="宋体" w:hAnsi="宋体"/>
          <w:color w:val="000000"/>
          <w:sz w:val="24"/>
        </w:rPr>
        <w:t>教学工作：了解学科（专业）、行业现状，追踪学科（专业）前沿，及时更新教学内容，改进教学方法和教学手段，重视实验或实践性教学，引导学生进行研究性学习和创新性学习，培养学生发现、分析和解决问题的兴趣和能力。在教学工作中有强烈的质量意识和完整、有效、可持续改进的教学质量管理措施，教学效果良好。</w:t>
      </w:r>
    </w:p>
    <w:p>
      <w:pPr>
        <w:spacing w:line="360" w:lineRule="auto"/>
        <w:rPr>
          <w:rFonts w:ascii="宋体" w:hAnsi="宋体"/>
          <w:color w:val="000000"/>
          <w:sz w:val="24"/>
        </w:rPr>
      </w:pPr>
      <w:r>
        <w:rPr>
          <w:rFonts w:ascii="宋体" w:hAnsi="宋体"/>
          <w:b/>
          <w:color w:val="000000"/>
          <w:sz w:val="24"/>
        </w:rPr>
        <w:t xml:space="preserve">    </w:t>
      </w:r>
      <w:r>
        <w:rPr>
          <w:rFonts w:ascii="宋体" w:hAnsi="宋体"/>
          <w:color w:val="000000"/>
          <w:sz w:val="24"/>
        </w:rPr>
        <w:t>第九条</w:t>
      </w:r>
      <w:r>
        <w:rPr>
          <w:rFonts w:ascii="宋体" w:hAnsi="宋体"/>
          <w:b/>
          <w:color w:val="000000"/>
          <w:sz w:val="24"/>
        </w:rPr>
        <w:t xml:space="preserve">  </w:t>
      </w:r>
      <w:r>
        <w:rPr>
          <w:rFonts w:ascii="宋体" w:hAnsi="宋体"/>
          <w:color w:val="000000"/>
          <w:sz w:val="24"/>
        </w:rPr>
        <w:t>教育教学研究：积极参加</w:t>
      </w:r>
      <w:r>
        <w:rPr>
          <w:rFonts w:hint="eastAsia" w:ascii="宋体" w:hAnsi="宋体"/>
          <w:color w:val="000000"/>
          <w:sz w:val="24"/>
        </w:rPr>
        <w:t>教学研究、</w:t>
      </w:r>
      <w:r>
        <w:rPr>
          <w:rFonts w:ascii="宋体" w:hAnsi="宋体"/>
          <w:color w:val="000000"/>
          <w:sz w:val="24"/>
        </w:rPr>
        <w:t>教学改革与创新，并把相应成果运用到教学活动中，有效提高教学质量。</w:t>
      </w:r>
    </w:p>
    <w:p>
      <w:pPr>
        <w:spacing w:line="360" w:lineRule="auto"/>
        <w:jc w:val="left"/>
        <w:rPr>
          <w:rFonts w:ascii="宋体" w:hAnsi="宋体"/>
          <w:color w:val="000000"/>
          <w:sz w:val="24"/>
        </w:rPr>
      </w:pPr>
      <w:r>
        <w:rPr>
          <w:rFonts w:ascii="宋体" w:hAnsi="宋体"/>
          <w:b/>
          <w:color w:val="000000"/>
          <w:sz w:val="24"/>
        </w:rPr>
        <w:t xml:space="preserve">    </w:t>
      </w:r>
      <w:r>
        <w:rPr>
          <w:rFonts w:ascii="宋体" w:hAnsi="宋体"/>
          <w:color w:val="000000"/>
          <w:sz w:val="24"/>
        </w:rPr>
        <w:t>第十条</w:t>
      </w:r>
      <w:r>
        <w:rPr>
          <w:rFonts w:ascii="宋体" w:hAnsi="宋体"/>
          <w:b/>
          <w:color w:val="000000"/>
          <w:sz w:val="24"/>
        </w:rPr>
        <w:t xml:space="preserve">  </w:t>
      </w:r>
      <w:r>
        <w:rPr>
          <w:rFonts w:ascii="宋体" w:hAnsi="宋体"/>
          <w:color w:val="000000"/>
          <w:sz w:val="24"/>
        </w:rPr>
        <w:t>课程建设：积极开展课程建设、教材建设、多媒体课件建设和网络课程</w:t>
      </w:r>
      <w:r>
        <w:rPr>
          <w:rFonts w:hint="eastAsia" w:ascii="宋体" w:hAnsi="宋体"/>
          <w:color w:val="000000"/>
          <w:sz w:val="24"/>
        </w:rPr>
        <w:t>资源</w:t>
      </w:r>
      <w:r>
        <w:rPr>
          <w:rFonts w:ascii="宋体" w:hAnsi="宋体"/>
          <w:color w:val="000000"/>
          <w:sz w:val="24"/>
        </w:rPr>
        <w:t>建设等，组织申报各级精品课程等。</w:t>
      </w:r>
    </w:p>
    <w:p>
      <w:pPr>
        <w:spacing w:line="360" w:lineRule="auto"/>
        <w:jc w:val="left"/>
        <w:rPr>
          <w:rFonts w:ascii="宋体" w:hAnsi="宋体"/>
          <w:color w:val="000000"/>
          <w:sz w:val="24"/>
        </w:rPr>
      </w:pPr>
      <w:r>
        <w:rPr>
          <w:rFonts w:ascii="宋体" w:hAnsi="宋体"/>
          <w:b/>
          <w:color w:val="000000"/>
          <w:sz w:val="24"/>
        </w:rPr>
        <w:t xml:space="preserve">    </w:t>
      </w:r>
      <w:r>
        <w:rPr>
          <w:rFonts w:ascii="宋体" w:hAnsi="宋体"/>
          <w:color w:val="000000"/>
          <w:sz w:val="24"/>
        </w:rPr>
        <w:t>第十一条</w:t>
      </w:r>
      <w:r>
        <w:rPr>
          <w:rFonts w:ascii="宋体" w:hAnsi="宋体"/>
          <w:b/>
          <w:color w:val="000000"/>
          <w:sz w:val="24"/>
        </w:rPr>
        <w:t xml:space="preserve">  </w:t>
      </w:r>
      <w:r>
        <w:rPr>
          <w:rFonts w:ascii="宋体" w:hAnsi="宋体"/>
          <w:color w:val="000000"/>
          <w:sz w:val="24"/>
        </w:rPr>
        <w:t>师资队伍建设：建立结构合理的教学梯队，特别要重视对团队内青年教师的“传、帮、带”，提高整体教学水平。</w:t>
      </w:r>
    </w:p>
    <w:p>
      <w:pPr>
        <w:spacing w:line="360" w:lineRule="auto"/>
        <w:jc w:val="center"/>
        <w:rPr>
          <w:rFonts w:ascii="宋体" w:hAnsi="宋体"/>
          <w:color w:val="000000"/>
          <w:sz w:val="24"/>
        </w:rPr>
      </w:pPr>
      <w:r>
        <w:rPr>
          <w:rFonts w:ascii="宋体" w:hAnsi="宋体"/>
          <w:b/>
          <w:sz w:val="24"/>
        </w:rPr>
        <w:t>第四章   项目及经费管理</w:t>
      </w:r>
    </w:p>
    <w:p>
      <w:pPr>
        <w:spacing w:line="360" w:lineRule="auto"/>
        <w:rPr>
          <w:rFonts w:ascii="宋体" w:hAnsi="宋体"/>
          <w:color w:val="000000"/>
          <w:sz w:val="24"/>
        </w:rPr>
      </w:pPr>
      <w:r>
        <w:rPr>
          <w:rFonts w:ascii="宋体" w:hAnsi="宋体"/>
          <w:b/>
          <w:sz w:val="24"/>
        </w:rPr>
        <w:t xml:space="preserve">    </w:t>
      </w:r>
      <w:r>
        <w:rPr>
          <w:rFonts w:ascii="宋体" w:hAnsi="宋体"/>
          <w:sz w:val="24"/>
        </w:rPr>
        <w:t>第十二条</w:t>
      </w:r>
      <w:r>
        <w:rPr>
          <w:rFonts w:ascii="宋体" w:hAnsi="宋体"/>
          <w:b/>
          <w:sz w:val="24"/>
        </w:rPr>
        <w:t xml:space="preserve">  </w:t>
      </w:r>
      <w:r>
        <w:rPr>
          <w:rFonts w:ascii="宋体" w:hAnsi="宋体"/>
          <w:color w:val="000000"/>
          <w:sz w:val="24"/>
        </w:rPr>
        <w:t>教学团队建设周期一般为3年，立项后需填报《内江师范学院教学团队建设任务书》。</w:t>
      </w:r>
    </w:p>
    <w:p>
      <w:pPr>
        <w:spacing w:line="360" w:lineRule="auto"/>
        <w:rPr>
          <w:rFonts w:ascii="宋体" w:hAnsi="宋体"/>
          <w:color w:val="000000"/>
          <w:sz w:val="24"/>
        </w:rPr>
      </w:pPr>
      <w:r>
        <w:rPr>
          <w:rFonts w:ascii="宋体" w:hAnsi="宋体"/>
          <w:b/>
          <w:sz w:val="24"/>
        </w:rPr>
        <w:t xml:space="preserve">    </w:t>
      </w:r>
      <w:r>
        <w:rPr>
          <w:rFonts w:ascii="宋体" w:hAnsi="宋体"/>
          <w:sz w:val="24"/>
        </w:rPr>
        <w:t>第十三条</w:t>
      </w:r>
      <w:r>
        <w:rPr>
          <w:rFonts w:ascii="宋体" w:hAnsi="宋体"/>
          <w:b/>
          <w:sz w:val="24"/>
        </w:rPr>
        <w:t xml:space="preserve">  </w:t>
      </w:r>
      <w:r>
        <w:rPr>
          <w:rFonts w:ascii="宋体" w:hAnsi="宋体"/>
          <w:sz w:val="24"/>
        </w:rPr>
        <w:t>教学团队建设由所在二级学院（部）负责监督、管理，教务处负责立项、中期检查、结题验收。</w:t>
      </w:r>
      <w:r>
        <w:rPr>
          <w:rFonts w:ascii="宋体" w:hAnsi="宋体"/>
          <w:color w:val="000000"/>
          <w:sz w:val="24"/>
        </w:rPr>
        <w:t xml:space="preserve"> </w:t>
      </w:r>
    </w:p>
    <w:p>
      <w:pPr>
        <w:spacing w:line="360" w:lineRule="auto"/>
        <w:rPr>
          <w:rFonts w:ascii="宋体" w:hAnsi="宋体"/>
          <w:sz w:val="24"/>
        </w:rPr>
      </w:pPr>
      <w:r>
        <w:rPr>
          <w:rFonts w:ascii="宋体" w:hAnsi="宋体"/>
          <w:b/>
          <w:sz w:val="24"/>
        </w:rPr>
        <w:t xml:space="preserve">    </w:t>
      </w:r>
      <w:r>
        <w:rPr>
          <w:rFonts w:ascii="宋体" w:hAnsi="宋体"/>
          <w:sz w:val="24"/>
        </w:rPr>
        <w:t>第十四条</w:t>
      </w:r>
      <w:r>
        <w:rPr>
          <w:rFonts w:ascii="宋体" w:hAnsi="宋体"/>
          <w:b/>
          <w:sz w:val="24"/>
        </w:rPr>
        <w:t xml:space="preserve">  </w:t>
      </w:r>
      <w:r>
        <w:rPr>
          <w:rFonts w:ascii="宋体" w:hAnsi="宋体"/>
          <w:sz w:val="24"/>
        </w:rPr>
        <w:t>教学团队对所负责课程的教学及其教学质量实行整体负责制。对于教学团队所负责的课程，在教学安排上可在团队成员内部进行自主调配；在教学质量考核方面，学校将根据团队每一个成员的考核情况来确定团队的整体教学质量。</w:t>
      </w:r>
    </w:p>
    <w:p>
      <w:pPr>
        <w:spacing w:line="360" w:lineRule="auto"/>
        <w:rPr>
          <w:rFonts w:ascii="宋体" w:hAnsi="宋体"/>
          <w:sz w:val="24"/>
        </w:rPr>
      </w:pPr>
      <w:r>
        <w:rPr>
          <w:rFonts w:ascii="宋体" w:hAnsi="宋体"/>
          <w:b/>
          <w:sz w:val="24"/>
        </w:rPr>
        <w:t xml:space="preserve">    </w:t>
      </w:r>
      <w:r>
        <w:rPr>
          <w:rFonts w:ascii="宋体" w:hAnsi="宋体"/>
          <w:sz w:val="24"/>
        </w:rPr>
        <w:t>第十五条</w:t>
      </w:r>
      <w:r>
        <w:rPr>
          <w:rFonts w:ascii="宋体" w:hAnsi="宋体"/>
          <w:b/>
          <w:sz w:val="24"/>
        </w:rPr>
        <w:t xml:space="preserve">  </w:t>
      </w:r>
      <w:r>
        <w:rPr>
          <w:rStyle w:val="21"/>
          <w:rFonts w:ascii="宋体" w:hAnsi="宋体"/>
          <w:sz w:val="24"/>
        </w:rPr>
        <w:t>建设期间，教学团队</w:t>
      </w:r>
      <w:r>
        <w:rPr>
          <w:rStyle w:val="21"/>
          <w:rFonts w:hint="eastAsia" w:ascii="宋体" w:hAnsi="宋体"/>
          <w:sz w:val="24"/>
        </w:rPr>
        <w:t>每年初应提交年度建设计划，</w:t>
      </w:r>
      <w:r>
        <w:rPr>
          <w:rStyle w:val="21"/>
          <w:rFonts w:ascii="宋体" w:hAnsi="宋体"/>
          <w:sz w:val="24"/>
        </w:rPr>
        <w:t>每年末应提交年度进展报告，未</w:t>
      </w:r>
      <w:r>
        <w:rPr>
          <w:rStyle w:val="21"/>
          <w:rFonts w:hint="eastAsia" w:ascii="宋体" w:hAnsi="宋体"/>
          <w:sz w:val="24"/>
        </w:rPr>
        <w:t>按时提</w:t>
      </w:r>
      <w:r>
        <w:rPr>
          <w:rStyle w:val="21"/>
          <w:rFonts w:ascii="宋体" w:hAnsi="宋体"/>
          <w:sz w:val="24"/>
        </w:rPr>
        <w:t>交年度进展报告的教学团队</w:t>
      </w:r>
      <w:r>
        <w:rPr>
          <w:rStyle w:val="21"/>
          <w:rFonts w:hint="eastAsia" w:ascii="宋体" w:hAnsi="宋体"/>
          <w:sz w:val="24"/>
        </w:rPr>
        <w:t>学校</w:t>
      </w:r>
      <w:r>
        <w:rPr>
          <w:rStyle w:val="21"/>
          <w:rFonts w:ascii="宋体" w:hAnsi="宋体"/>
          <w:sz w:val="24"/>
        </w:rPr>
        <w:t>将暂停资助。</w:t>
      </w:r>
      <w:r>
        <w:rPr>
          <w:rFonts w:ascii="宋体" w:hAnsi="宋体"/>
          <w:sz w:val="24"/>
        </w:rPr>
        <w:t>在建设中期，教学团队应接受学校专家组的评估检查，对未能按既定计划建设的团队，要限期整改；整改不合格的应取消经费资助。</w:t>
      </w:r>
    </w:p>
    <w:p>
      <w:pPr>
        <w:spacing w:line="360" w:lineRule="auto"/>
        <w:rPr>
          <w:rFonts w:ascii="宋体" w:hAnsi="宋体"/>
          <w:sz w:val="24"/>
        </w:rPr>
      </w:pPr>
      <w:r>
        <w:rPr>
          <w:rFonts w:ascii="宋体" w:hAnsi="宋体"/>
          <w:b/>
          <w:sz w:val="24"/>
        </w:rPr>
        <w:t xml:space="preserve">    </w:t>
      </w:r>
      <w:r>
        <w:rPr>
          <w:rFonts w:ascii="宋体" w:hAnsi="宋体"/>
          <w:sz w:val="24"/>
        </w:rPr>
        <w:t>第十六条</w:t>
      </w:r>
      <w:r>
        <w:rPr>
          <w:rFonts w:ascii="宋体" w:hAnsi="宋体"/>
          <w:b/>
          <w:sz w:val="24"/>
        </w:rPr>
        <w:t xml:space="preserve">  </w:t>
      </w:r>
      <w:r>
        <w:rPr>
          <w:rFonts w:ascii="宋体" w:hAnsi="宋体"/>
          <w:sz w:val="24"/>
        </w:rPr>
        <w:t>建设期满后，教学团队需提交《教学团队</w:t>
      </w:r>
      <w:r>
        <w:rPr>
          <w:rFonts w:ascii="宋体" w:hAnsi="宋体"/>
          <w:color w:val="000000"/>
          <w:sz w:val="24"/>
        </w:rPr>
        <w:t>建设</w:t>
      </w:r>
      <w:r>
        <w:rPr>
          <w:rFonts w:ascii="宋体" w:hAnsi="宋体"/>
          <w:sz w:val="24"/>
        </w:rPr>
        <w:t>总结报告》，内容包括教学工作、教育教学研究、课程</w:t>
      </w:r>
      <w:r>
        <w:rPr>
          <w:rFonts w:hint="eastAsia" w:ascii="宋体" w:hAnsi="宋体"/>
          <w:sz w:val="24"/>
        </w:rPr>
        <w:t>、教材</w:t>
      </w:r>
      <w:r>
        <w:rPr>
          <w:rFonts w:ascii="宋体" w:hAnsi="宋体"/>
          <w:sz w:val="24"/>
        </w:rPr>
        <w:t>建设、师资队伍建设的各个方面，学校对资助团队的各项成果进行评估验收</w:t>
      </w:r>
      <w:r>
        <w:rPr>
          <w:rFonts w:hint="eastAsia" w:ascii="宋体" w:hAnsi="宋体"/>
          <w:sz w:val="24"/>
        </w:rPr>
        <w:t>，对验收合格的团队学校将给予一次性奖励。</w:t>
      </w:r>
    </w:p>
    <w:p>
      <w:pPr>
        <w:spacing w:line="360" w:lineRule="auto"/>
        <w:rPr>
          <w:rFonts w:ascii="宋体" w:hAnsi="宋体"/>
          <w:b/>
          <w:color w:val="000000"/>
          <w:sz w:val="24"/>
        </w:rPr>
      </w:pPr>
      <w:r>
        <w:rPr>
          <w:rFonts w:ascii="宋体" w:hAnsi="宋体"/>
          <w:b/>
          <w:color w:val="000000"/>
          <w:sz w:val="24"/>
        </w:rPr>
        <w:t xml:space="preserve">    </w:t>
      </w:r>
      <w:r>
        <w:rPr>
          <w:rFonts w:ascii="宋体" w:hAnsi="宋体"/>
          <w:color w:val="000000"/>
          <w:sz w:val="24"/>
        </w:rPr>
        <w:t>第十七条</w:t>
      </w:r>
      <w:r>
        <w:rPr>
          <w:rFonts w:ascii="宋体" w:hAnsi="宋体"/>
          <w:b/>
          <w:color w:val="000000"/>
          <w:sz w:val="24"/>
        </w:rPr>
        <w:t xml:space="preserve">  </w:t>
      </w:r>
      <w:r>
        <w:rPr>
          <w:rFonts w:ascii="宋体" w:hAnsi="宋体"/>
          <w:sz w:val="24"/>
        </w:rPr>
        <w:t>学校将创造条件向省、国家推荐高一层次教学团队。原则上，向省一级推荐的教学团队应在校级教学团队基础上产生，向国家级推荐的教学团队应在省级教学团队基础上产生。</w:t>
      </w:r>
    </w:p>
    <w:p>
      <w:pPr>
        <w:spacing w:line="360" w:lineRule="auto"/>
        <w:jc w:val="left"/>
        <w:rPr>
          <w:rFonts w:ascii="宋体" w:hAnsi="宋体"/>
          <w:color w:val="000000"/>
          <w:sz w:val="24"/>
        </w:rPr>
      </w:pPr>
      <w:r>
        <w:rPr>
          <w:rFonts w:ascii="宋体" w:hAnsi="宋体"/>
          <w:b/>
          <w:color w:val="000000"/>
          <w:sz w:val="24"/>
        </w:rPr>
        <w:t xml:space="preserve">    </w:t>
      </w:r>
      <w:r>
        <w:rPr>
          <w:rFonts w:ascii="宋体" w:hAnsi="宋体"/>
          <w:color w:val="000000"/>
          <w:sz w:val="24"/>
        </w:rPr>
        <w:t>第十八条</w:t>
      </w:r>
      <w:r>
        <w:rPr>
          <w:rFonts w:ascii="宋体" w:hAnsi="宋体"/>
          <w:b/>
          <w:color w:val="000000"/>
          <w:sz w:val="24"/>
        </w:rPr>
        <w:t xml:space="preserve">  </w:t>
      </w:r>
      <w:r>
        <w:rPr>
          <w:rFonts w:ascii="宋体" w:hAnsi="宋体"/>
          <w:color w:val="000000"/>
          <w:sz w:val="24"/>
        </w:rPr>
        <w:t>经费资助</w:t>
      </w:r>
      <w:r>
        <w:rPr>
          <w:rFonts w:ascii="宋体" w:hAnsi="宋体"/>
          <w:sz w:val="24"/>
        </w:rPr>
        <w:t>。校级教学团队：原则上按1万元／年划拨；省级</w:t>
      </w:r>
      <w:r>
        <w:rPr>
          <w:rFonts w:ascii="宋体" w:hAnsi="宋体"/>
          <w:color w:val="000000"/>
          <w:sz w:val="24"/>
        </w:rPr>
        <w:t>及以上教学团队，学校按主管部门拨款</w:t>
      </w:r>
      <w:r>
        <w:rPr>
          <w:rFonts w:hint="eastAsia" w:ascii="宋体" w:hAnsi="宋体"/>
          <w:color w:val="000000"/>
          <w:sz w:val="24"/>
        </w:rPr>
        <w:t>额度</w:t>
      </w:r>
      <w:r>
        <w:rPr>
          <w:rFonts w:ascii="宋体" w:hAnsi="宋体"/>
          <w:color w:val="000000"/>
          <w:sz w:val="24"/>
        </w:rPr>
        <w:t>，按1:1进行配套。资助经费学校分年划拨，统一管理，监督使用。</w:t>
      </w:r>
    </w:p>
    <w:p>
      <w:pPr>
        <w:spacing w:line="360" w:lineRule="auto"/>
        <w:ind w:firstLine="480" w:firstLineChars="200"/>
        <w:rPr>
          <w:rFonts w:ascii="宋体" w:hAnsi="宋体"/>
          <w:sz w:val="24"/>
        </w:rPr>
      </w:pPr>
      <w:r>
        <w:rPr>
          <w:rFonts w:ascii="宋体" w:hAnsi="宋体"/>
          <w:color w:val="000000"/>
          <w:sz w:val="24"/>
        </w:rPr>
        <w:t>第十九条</w:t>
      </w:r>
      <w:r>
        <w:rPr>
          <w:rFonts w:hint="eastAsia" w:ascii="宋体" w:hAnsi="宋体"/>
          <w:b/>
          <w:color w:val="000000"/>
          <w:sz w:val="24"/>
        </w:rPr>
        <w:t xml:space="preserve"> </w:t>
      </w:r>
      <w:r>
        <w:rPr>
          <w:rFonts w:ascii="宋体" w:hAnsi="宋体"/>
          <w:sz w:val="24"/>
        </w:rPr>
        <w:t>各二级学院</w:t>
      </w:r>
      <w:r>
        <w:rPr>
          <w:rFonts w:hint="eastAsia" w:ascii="宋体" w:hAnsi="宋体"/>
          <w:sz w:val="24"/>
        </w:rPr>
        <w:t>（部）</w:t>
      </w:r>
      <w:r>
        <w:rPr>
          <w:rFonts w:ascii="宋体" w:hAnsi="宋体"/>
          <w:sz w:val="24"/>
        </w:rPr>
        <w:t>应保证教学团队的教学活动条件，落实相应的配套建设经费。</w:t>
      </w:r>
    </w:p>
    <w:p>
      <w:pPr>
        <w:widowControl/>
        <w:spacing w:line="360" w:lineRule="auto"/>
        <w:ind w:firstLine="480" w:firstLineChars="200"/>
        <w:jc w:val="left"/>
        <w:rPr>
          <w:rFonts w:ascii="宋体" w:hAnsi="宋体"/>
          <w:color w:val="000000"/>
          <w:kern w:val="0"/>
          <w:sz w:val="24"/>
        </w:rPr>
      </w:pPr>
      <w:r>
        <w:rPr>
          <w:rFonts w:ascii="宋体" w:hAnsi="宋体"/>
          <w:sz w:val="24"/>
        </w:rPr>
        <w:t>第二十条  对学校划拨的经费及二级学院</w:t>
      </w:r>
      <w:r>
        <w:rPr>
          <w:rFonts w:hint="eastAsia" w:ascii="宋体" w:hAnsi="宋体"/>
          <w:sz w:val="24"/>
        </w:rPr>
        <w:t>（部）</w:t>
      </w:r>
      <w:r>
        <w:rPr>
          <w:rFonts w:ascii="宋体" w:hAnsi="宋体"/>
          <w:sz w:val="24"/>
        </w:rPr>
        <w:t>配套的经费</w:t>
      </w:r>
      <w:r>
        <w:rPr>
          <w:rFonts w:ascii="宋体" w:hAnsi="宋体"/>
          <w:color w:val="000000"/>
          <w:kern w:val="0"/>
          <w:sz w:val="24"/>
        </w:rPr>
        <w:t>实行团队负责人制，统一管理、专款专用。教务处负责经费使用的审批及监督。</w:t>
      </w:r>
      <w:r>
        <w:rPr>
          <w:rFonts w:ascii="宋体" w:hAnsi="宋体"/>
          <w:sz w:val="24"/>
        </w:rPr>
        <w:t>经费开支范围为：</w:t>
      </w:r>
    </w:p>
    <w:p>
      <w:pPr>
        <w:spacing w:line="360" w:lineRule="auto"/>
        <w:ind w:firstLine="480" w:firstLineChars="200"/>
        <w:rPr>
          <w:rFonts w:ascii="宋体" w:hAnsi="宋体"/>
          <w:sz w:val="24"/>
        </w:rPr>
      </w:pPr>
      <w:r>
        <w:rPr>
          <w:rFonts w:ascii="宋体" w:hAnsi="宋体"/>
          <w:sz w:val="24"/>
        </w:rPr>
        <w:t>1、师资培训费、差旅费；</w:t>
      </w:r>
    </w:p>
    <w:p>
      <w:pPr>
        <w:spacing w:line="360" w:lineRule="auto"/>
        <w:ind w:firstLine="480" w:firstLineChars="200"/>
        <w:rPr>
          <w:rFonts w:ascii="宋体" w:hAnsi="宋体"/>
          <w:sz w:val="24"/>
        </w:rPr>
      </w:pPr>
      <w:r>
        <w:rPr>
          <w:rFonts w:ascii="宋体" w:hAnsi="宋体"/>
          <w:sz w:val="24"/>
        </w:rPr>
        <w:t>2、教材建设费、</w:t>
      </w:r>
      <w:r>
        <w:rPr>
          <w:rFonts w:hint="eastAsia" w:ascii="宋体" w:hAnsi="宋体"/>
          <w:sz w:val="24"/>
        </w:rPr>
        <w:t>图书</w:t>
      </w:r>
      <w:r>
        <w:rPr>
          <w:rFonts w:ascii="宋体" w:hAnsi="宋体"/>
          <w:sz w:val="24"/>
        </w:rPr>
        <w:t>资料费；</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教学研究、课程建设</w:t>
      </w:r>
      <w:r>
        <w:rPr>
          <w:rFonts w:ascii="宋体" w:hAnsi="宋体"/>
          <w:sz w:val="24"/>
        </w:rPr>
        <w:t>费；</w:t>
      </w:r>
    </w:p>
    <w:p>
      <w:pPr>
        <w:spacing w:line="360" w:lineRule="auto"/>
        <w:ind w:firstLine="480" w:firstLineChars="200"/>
        <w:rPr>
          <w:rFonts w:ascii="宋体" w:hAnsi="宋体"/>
          <w:sz w:val="24"/>
        </w:rPr>
      </w:pPr>
      <w:r>
        <w:rPr>
          <w:rFonts w:ascii="宋体" w:hAnsi="宋体"/>
          <w:sz w:val="24"/>
        </w:rPr>
        <w:t>4、团队建设劳务酬金（不超过项目经费的15%）；</w:t>
      </w:r>
    </w:p>
    <w:p>
      <w:pPr>
        <w:spacing w:line="360" w:lineRule="auto"/>
        <w:ind w:firstLine="480" w:firstLineChars="200"/>
        <w:rPr>
          <w:rFonts w:ascii="宋体" w:hAnsi="宋体"/>
          <w:sz w:val="24"/>
        </w:rPr>
      </w:pPr>
      <w:r>
        <w:rPr>
          <w:rFonts w:ascii="宋体" w:hAnsi="宋体"/>
          <w:sz w:val="24"/>
        </w:rPr>
        <w:t>5、项目验收和鉴定所需费用（不超过项目经费的5%）。</w:t>
      </w:r>
    </w:p>
    <w:p>
      <w:pPr>
        <w:spacing w:line="360" w:lineRule="auto"/>
        <w:ind w:firstLine="480"/>
        <w:rPr>
          <w:rFonts w:ascii="宋体" w:hAnsi="宋体"/>
          <w:bCs/>
          <w:color w:val="000000"/>
          <w:sz w:val="24"/>
        </w:rPr>
      </w:pPr>
      <w:r>
        <w:rPr>
          <w:rFonts w:ascii="宋体" w:hAnsi="宋体"/>
          <w:bCs/>
          <w:color w:val="000000"/>
          <w:sz w:val="24"/>
        </w:rPr>
        <w:t>6、其它与团队建设直接相关的开支。</w:t>
      </w:r>
    </w:p>
    <w:p>
      <w:pPr>
        <w:spacing w:line="360" w:lineRule="auto"/>
        <w:jc w:val="center"/>
        <w:rPr>
          <w:rFonts w:ascii="宋体" w:hAnsi="宋体"/>
          <w:color w:val="000000"/>
          <w:sz w:val="24"/>
        </w:rPr>
      </w:pPr>
      <w:r>
        <w:rPr>
          <w:rFonts w:ascii="宋体" w:hAnsi="宋体"/>
          <w:b/>
          <w:color w:val="000000"/>
          <w:sz w:val="24"/>
        </w:rPr>
        <w:t>第五章   附  则</w:t>
      </w:r>
    </w:p>
    <w:p>
      <w:pPr>
        <w:spacing w:line="360" w:lineRule="auto"/>
        <w:jc w:val="left"/>
        <w:rPr>
          <w:rFonts w:ascii="宋体" w:hAnsi="宋体"/>
          <w:color w:val="000000"/>
          <w:sz w:val="24"/>
        </w:rPr>
      </w:pPr>
      <w:r>
        <w:rPr>
          <w:rFonts w:ascii="宋体" w:hAnsi="宋体"/>
          <w:b/>
          <w:bCs/>
          <w:color w:val="000000"/>
          <w:sz w:val="24"/>
        </w:rPr>
        <w:t xml:space="preserve">   </w:t>
      </w:r>
      <w:r>
        <w:rPr>
          <w:rFonts w:ascii="宋体" w:hAnsi="宋体"/>
          <w:bCs/>
          <w:color w:val="000000"/>
          <w:sz w:val="24"/>
        </w:rPr>
        <w:t>第二十一条</w:t>
      </w:r>
      <w:r>
        <w:rPr>
          <w:rFonts w:ascii="宋体" w:hAnsi="宋体"/>
          <w:color w:val="000000"/>
          <w:sz w:val="24"/>
        </w:rPr>
        <w:t xml:space="preserve">  本办法自发文之日起开始执行，由教务处负责解释。</w:t>
      </w:r>
    </w:p>
    <w:p>
      <w:pPr>
        <w:widowControl/>
        <w:spacing w:line="360" w:lineRule="auto"/>
        <w:ind w:firstLine="3600" w:firstLineChars="1500"/>
        <w:jc w:val="left"/>
        <w:rPr>
          <w:rFonts w:ascii="宋体" w:hAnsi="宋体" w:cs="宋体"/>
          <w:color w:val="000000"/>
          <w:kern w:val="0"/>
          <w:sz w:val="24"/>
        </w:rPr>
      </w:pPr>
    </w:p>
    <w:p>
      <w:pPr>
        <w:widowControl/>
        <w:spacing w:line="360" w:lineRule="auto"/>
        <w:ind w:firstLine="5060" w:firstLineChars="2100"/>
        <w:jc w:val="right"/>
        <w:rPr>
          <w:rFonts w:ascii="宋体" w:hAnsi="宋体" w:cs="宋体"/>
          <w:b/>
          <w:color w:val="000000"/>
          <w:kern w:val="0"/>
          <w:sz w:val="24"/>
        </w:rPr>
      </w:pPr>
    </w:p>
    <w:p>
      <w:pPr>
        <w:widowControl/>
        <w:spacing w:line="360" w:lineRule="auto"/>
        <w:ind w:firstLine="5060" w:firstLineChars="2100"/>
        <w:jc w:val="right"/>
        <w:rPr>
          <w:rFonts w:ascii="宋体" w:hAnsi="宋体" w:cs="宋体"/>
          <w:b/>
          <w:color w:val="000000"/>
          <w:kern w:val="0"/>
          <w:sz w:val="24"/>
        </w:rPr>
      </w:pPr>
      <w:r>
        <w:rPr>
          <w:rFonts w:hint="eastAsia" w:ascii="宋体" w:hAnsi="宋体" w:cs="宋体"/>
          <w:b/>
          <w:color w:val="000000"/>
          <w:kern w:val="0"/>
          <w:sz w:val="24"/>
        </w:rPr>
        <w:t>二○○九年五月二十日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内江师范学院教师</w:t>
      </w:r>
      <w:r>
        <w:rPr>
          <w:rFonts w:hint="eastAsia" w:cs="宋体" w:asciiTheme="majorEastAsia" w:hAnsiTheme="majorEastAsia" w:eastAsiaTheme="majorEastAsia"/>
          <w:b/>
          <w:color w:val="000000"/>
          <w:kern w:val="0"/>
          <w:sz w:val="32"/>
          <w:szCs w:val="32"/>
        </w:rPr>
        <w:t>教学质量考核实施办法</w:t>
      </w:r>
      <w:r>
        <w:rPr>
          <w:rFonts w:hint="eastAsia" w:cs="宋体" w:asciiTheme="majorEastAsia" w:hAnsiTheme="majorEastAsia" w:eastAsiaTheme="majorEastAsia"/>
          <w:b/>
          <w:kern w:val="0"/>
          <w:sz w:val="32"/>
          <w:szCs w:val="32"/>
        </w:rPr>
        <w:t>（试行）</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内师教字〔2016〕3 号</w:t>
      </w:r>
    </w:p>
    <w:p>
      <w:pPr>
        <w:widowControl/>
        <w:spacing w:line="560" w:lineRule="exact"/>
        <w:ind w:firstLine="560"/>
        <w:jc w:val="left"/>
        <w:rPr>
          <w:rFonts w:ascii="仿宋_GB2312" w:hAnsi="仿宋" w:eastAsia="仿宋_GB2312" w:cs="宋体"/>
          <w:kern w:val="0"/>
          <w:sz w:val="28"/>
          <w:szCs w:val="28"/>
        </w:rPr>
      </w:pP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为了加强教学质量管理，客观评价教师教学质量，为专业技术职称评聘提供依据，参照学校各主要教学环节质量标准，特制定本办法。</w:t>
      </w:r>
    </w:p>
    <w:p>
      <w:pPr>
        <w:widowControl/>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一、考核目的</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通过科学严谨的教学质量考核，对教师教学质量及水平给予合理的阶段性评价结论，为专业技术职称评聘等提供基本依据，进一步调动教师投入教学工作的积极性。</w:t>
      </w:r>
    </w:p>
    <w:p>
      <w:pPr>
        <w:widowControl/>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二、考核原则</w:t>
      </w:r>
    </w:p>
    <w:p>
      <w:pPr>
        <w:widowControl/>
        <w:spacing w:line="360" w:lineRule="auto"/>
        <w:ind w:firstLine="560"/>
        <w:jc w:val="left"/>
        <w:rPr>
          <w:rFonts w:cs="宋体" w:asciiTheme="minorEastAsia" w:hAnsiTheme="minorEastAsia"/>
          <w:kern w:val="0"/>
          <w:sz w:val="24"/>
          <w:szCs w:val="24"/>
          <w:lang w:val="en-GB"/>
        </w:rPr>
      </w:pPr>
      <w:r>
        <w:rPr>
          <w:rFonts w:hint="eastAsia" w:cs="宋体" w:asciiTheme="minorEastAsia" w:hAnsiTheme="minorEastAsia"/>
          <w:kern w:val="0"/>
          <w:sz w:val="24"/>
          <w:szCs w:val="24"/>
        </w:rPr>
        <w:t>1.实事求是、客观公正的原则</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教师教学质量评价是一项科学性很强的系统工作，在评价过程中遵循教育教学规律，结合教学工作特点，根据科学的教学评价指标体系，实事求是地评价教师的教学实效，客观公正地反映教学现状。</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2.定量考核的原则</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教学活动是教与学的复杂过程，影响教学质量的因素很多。为了提高考核的可操作性，评价采取定量的方法，以提高评价结果的认可度。</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3.全面综合评价的原则</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考核应综合考虑师德修养、专业水平、教学能力、基本素养等各种影响教育教学质量的因素，结合具体专业、课程的特点，对教师的教学过程与效果进行综合性的评价。 </w:t>
      </w:r>
    </w:p>
    <w:p>
      <w:pPr>
        <w:widowControl/>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三、考核对象</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本办法的考核对象为全校所有申报教师系列技术职称的教师。</w:t>
      </w:r>
    </w:p>
    <w:p>
      <w:pPr>
        <w:widowControl/>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四、考核组织</w:t>
      </w:r>
    </w:p>
    <w:p>
      <w:pPr>
        <w:widowControl/>
        <w:spacing w:line="360" w:lineRule="auto"/>
        <w:ind w:firstLine="480" w:firstLineChars="200"/>
        <w:jc w:val="left"/>
        <w:rPr>
          <w:rFonts w:cs="宋体" w:asciiTheme="minorEastAsia" w:hAnsiTheme="minorEastAsia"/>
          <w:b/>
          <w:kern w:val="0"/>
          <w:sz w:val="24"/>
          <w:szCs w:val="24"/>
        </w:rPr>
      </w:pPr>
      <w:r>
        <w:rPr>
          <w:rFonts w:hint="eastAsia" w:cs="宋体" w:asciiTheme="minorEastAsia" w:hAnsiTheme="minorEastAsia"/>
          <w:kern w:val="0"/>
          <w:sz w:val="24"/>
          <w:szCs w:val="24"/>
        </w:rPr>
        <w:t>1.组织领导</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学校成立以分管校领导为组长的教学质量考核领导小组，下设考核办公室，挂在教务处，负责日常工作。各教学单位成立本部门教学质量考核小组。</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2.任务分工</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教务处负责组织专家对教师的教学质量进行考核评价，并组织学生网上评教。各教学单位负责组织本部门同行专家，对教师的教学质量进行评价。</w:t>
      </w:r>
    </w:p>
    <w:p>
      <w:pPr>
        <w:widowControl/>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五、考核计算方法及指标体系</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1.计算方法</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教学质量考核分三个方面进行综合评定，总分100分，其相应权重如下：专家评教占40%，同行评教占50%，学生评教占10%。</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2.考核指标体系</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专家和同行评教，按照《内江师范学院教师课堂教学评价量表》进行。学生网上评教，按照《内江师范学院学生评教表》进行。</w:t>
      </w:r>
    </w:p>
    <w:p>
      <w:pPr>
        <w:widowControl/>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kern w:val="0"/>
          <w:sz w:val="24"/>
          <w:szCs w:val="24"/>
        </w:rPr>
        <w:t>六、考核流程</w:t>
      </w:r>
    </w:p>
    <w:p>
      <w:pPr>
        <w:spacing w:line="360" w:lineRule="auto"/>
        <w:ind w:firstLine="480" w:firstLineChars="200"/>
        <w:rPr>
          <w:rFonts w:cs="宋体" w:asciiTheme="minorEastAsia" w:hAnsiTheme="minorEastAsia"/>
          <w:color w:val="FF0000"/>
          <w:kern w:val="0"/>
          <w:sz w:val="24"/>
          <w:szCs w:val="24"/>
        </w:rPr>
      </w:pPr>
      <w:r>
        <w:rPr>
          <w:rFonts w:hint="eastAsia" w:cs="宋体" w:asciiTheme="minorEastAsia" w:hAnsiTheme="minorEastAsia"/>
          <w:kern w:val="0"/>
          <w:sz w:val="24"/>
          <w:szCs w:val="24"/>
        </w:rPr>
        <w:t>1.按照学校专业技术职称评聘工作的实际，人事处于每年的9月（秋季学期）和3月（春季学期）将本学年度预申报教师系列专业技术职称的教师名单汇总报送教务处，以便于开展教师教学质量的考核工作。教务处不单独接受教师个人职称评定中的教学质量考核申请。</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教务处组织专家组对预申报教师系列专业技术职称的教师进行教学质量的考核。专家队伍由具有副高职称的本校教师组成，专家考核采取随堂听课的方式进行。每个被考核的教师应由5个专家进行综合打分，专家评教的最终成绩取所有专家打分的平均分。</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3.各教学单位的教学质量考核小组负责组织本单位教师的同行评教。评教的同行专家应不少于5人。同行评教的最终成绩取所有专家打分的平均分。同行评教的分数应于每年的6月20日之前报教务处。</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4.教务处负责组织学生的网上评教。学生评教成绩取近两个学年度的评教平均分。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sz w:val="24"/>
          <w:szCs w:val="24"/>
        </w:rPr>
        <w:t>5.教务处将专家评教、同行评教、学生评教的分数进行汇总，按照规定的权重计算出被考核教师的综合分数，并根据分数对教师教学质量是否合格予以认定。综合得分不低于60分，即认定为合格。每年7月上旬，教务处将被考核教师的综合得分及结果报送学校人事处，供</w:t>
      </w:r>
      <w:r>
        <w:rPr>
          <w:rFonts w:hint="eastAsia" w:cs="宋体" w:asciiTheme="minorEastAsia" w:hAnsiTheme="minorEastAsia"/>
          <w:kern w:val="0"/>
          <w:sz w:val="24"/>
          <w:szCs w:val="24"/>
        </w:rPr>
        <w:t>专业技术职称评聘工作参考使用。</w:t>
      </w:r>
    </w:p>
    <w:p>
      <w:pPr>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七、附则</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1.按照《内江师范学院教学责任事故认定与处理办法（修订）》的规定，凡被认定为二级及以上教学责任事故的教师，自事故认定之日起 ，一年内取消申报高一级技术职务的资格。</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按照《内江师范学院讲课比赛管理办法（修订）》的规定，凡在学校或校级以上相应教育主管部门组织的讲课比赛中获奖的教师，在现有职称基础上，晋升高一级时可免于教学质量考核。参加其他各种类别的讲课比赛，若未在教务处进行备案的，需参加学校的教学质量考核。</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3.根据学校的实际，其他工作中需要对教师教学质量进行评价与考核时，参照本办法执行。</w:t>
      </w:r>
    </w:p>
    <w:p>
      <w:pPr>
        <w:spacing w:line="360" w:lineRule="auto"/>
        <w:ind w:firstLine="482" w:firstLineChars="200"/>
        <w:rPr>
          <w:rFonts w:asciiTheme="minorEastAsia" w:hAnsiTheme="minorEastAsia"/>
          <w:b/>
          <w:sz w:val="24"/>
          <w:szCs w:val="24"/>
        </w:rPr>
      </w:pPr>
      <w:r>
        <w:rPr>
          <w:rFonts w:hint="eastAsia" w:cs="宋体" w:asciiTheme="minorEastAsia" w:hAnsiTheme="minorEastAsia"/>
          <w:b/>
          <w:kern w:val="0"/>
          <w:sz w:val="24"/>
          <w:szCs w:val="24"/>
        </w:rPr>
        <w:t>八、本办法由学校教务处负责解释。</w:t>
      </w:r>
    </w:p>
    <w:p>
      <w:pPr>
        <w:spacing w:line="360" w:lineRule="auto"/>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2016年1月5日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ind w:firstLine="732" w:firstLineChars="228"/>
        <w:jc w:val="center"/>
        <w:rPr>
          <w:rFonts w:asciiTheme="minorEastAsia" w:hAnsiTheme="minorEastAsia"/>
          <w:b/>
          <w:color w:val="000000" w:themeColor="text1"/>
          <w:kern w:val="0"/>
          <w:sz w:val="32"/>
          <w:szCs w:val="32"/>
          <w14:textFill>
            <w14:solidFill>
              <w14:schemeClr w14:val="tx1"/>
            </w14:solidFill>
          </w14:textFill>
        </w:rPr>
      </w:pPr>
      <w:bookmarkStart w:id="52" w:name="OLE_LINK21"/>
      <w:bookmarkStart w:id="53" w:name="OLE_LINK20"/>
      <w:r>
        <w:rPr>
          <w:rFonts w:hint="eastAsia" w:asciiTheme="minorEastAsia" w:hAnsiTheme="minorEastAsia"/>
          <w:b/>
          <w:color w:val="000000" w:themeColor="text1"/>
          <w:kern w:val="0"/>
          <w:sz w:val="32"/>
          <w:szCs w:val="32"/>
          <w14:textFill>
            <w14:solidFill>
              <w14:schemeClr w14:val="tx1"/>
            </w14:solidFill>
          </w14:textFill>
        </w:rPr>
        <w:t>内江师范学院教育教学质量综合考核</w:t>
      </w:r>
      <w:bookmarkEnd w:id="52"/>
      <w:bookmarkEnd w:id="53"/>
      <w:r>
        <w:rPr>
          <w:rFonts w:hint="eastAsia" w:asciiTheme="minorEastAsia" w:hAnsiTheme="minorEastAsia"/>
          <w:b/>
          <w:color w:val="000000" w:themeColor="text1"/>
          <w:kern w:val="0"/>
          <w:sz w:val="32"/>
          <w:szCs w:val="32"/>
          <w14:textFill>
            <w14:solidFill>
              <w14:schemeClr w14:val="tx1"/>
            </w14:solidFill>
          </w14:textFill>
        </w:rPr>
        <w:t>实施办法（试行）</w:t>
      </w:r>
    </w:p>
    <w:p>
      <w:pPr>
        <w:spacing w:line="560" w:lineRule="exact"/>
        <w:ind w:firstLine="641" w:firstLineChars="228"/>
        <w:jc w:val="center"/>
        <w:rPr>
          <w:rFonts w:asciiTheme="minorEastAsia" w:hAnsiTheme="minorEastAsia"/>
          <w:b/>
          <w:color w:val="000000" w:themeColor="text1"/>
          <w:kern w:val="0"/>
          <w:sz w:val="28"/>
          <w:szCs w:val="28"/>
          <w14:textFill>
            <w14:solidFill>
              <w14:schemeClr w14:val="tx1"/>
            </w14:solidFill>
          </w14:textFill>
        </w:rPr>
      </w:pPr>
      <w:r>
        <w:rPr>
          <w:rFonts w:hint="eastAsia" w:asciiTheme="minorEastAsia" w:hAnsiTheme="minorEastAsia"/>
          <w:b/>
          <w:color w:val="000000" w:themeColor="text1"/>
          <w:kern w:val="0"/>
          <w:sz w:val="28"/>
          <w:szCs w:val="28"/>
          <w14:textFill>
            <w14:solidFill>
              <w14:schemeClr w14:val="tx1"/>
            </w14:solidFill>
          </w14:textFill>
        </w:rPr>
        <w:t>内师院发</w:t>
      </w:r>
      <w:r>
        <w:rPr>
          <w:rFonts w:hint="eastAsia" w:ascii="宋体" w:hAnsi="宋体" w:eastAsia="宋体" w:cs="宋体"/>
          <w:b/>
          <w:bCs/>
          <w:spacing w:val="-6"/>
          <w:kern w:val="0"/>
          <w:sz w:val="28"/>
          <w:szCs w:val="28"/>
        </w:rPr>
        <w:t>〔201</w:t>
      </w:r>
      <w:r>
        <w:rPr>
          <w:rFonts w:ascii="宋体" w:hAnsi="宋体" w:eastAsia="宋体" w:cs="宋体"/>
          <w:b/>
          <w:bCs/>
          <w:spacing w:val="-6"/>
          <w:kern w:val="0"/>
          <w:sz w:val="28"/>
          <w:szCs w:val="28"/>
        </w:rPr>
        <w:t>8</w:t>
      </w:r>
      <w:r>
        <w:rPr>
          <w:rFonts w:hint="eastAsia" w:ascii="宋体" w:hAnsi="宋体" w:eastAsia="宋体" w:cs="宋体"/>
          <w:b/>
          <w:bCs/>
          <w:spacing w:val="-6"/>
          <w:kern w:val="0"/>
          <w:sz w:val="28"/>
          <w:szCs w:val="28"/>
        </w:rPr>
        <w:t>〕</w:t>
      </w:r>
      <w:r>
        <w:rPr>
          <w:rFonts w:hint="eastAsia" w:asciiTheme="minorEastAsia" w:hAnsiTheme="minorEastAsia"/>
          <w:b/>
          <w:color w:val="000000" w:themeColor="text1"/>
          <w:kern w:val="0"/>
          <w:sz w:val="28"/>
          <w:szCs w:val="28"/>
          <w14:textFill>
            <w14:solidFill>
              <w14:schemeClr w14:val="tx1"/>
            </w14:solidFill>
          </w14:textFill>
        </w:rPr>
        <w:t>100号</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人才培养是高等学校的根本任务，教学工作是高校的中心工作，教书育人是教师的天职。为提高人才培养质量，充分调动教师从事教育教学、开展教育教学研究、指导学生学习及成长等工作的积极性，综合评价教师教育教学质量，特制定本办法。</w:t>
      </w:r>
    </w:p>
    <w:p>
      <w:pPr>
        <w:spacing w:line="360" w:lineRule="auto"/>
        <w:ind w:left="480"/>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一、考核目的</w:t>
      </w:r>
    </w:p>
    <w:p>
      <w:pPr>
        <w:spacing w:line="360" w:lineRule="auto"/>
        <w:ind w:firstLine="480" w:firstLineChars="20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坚持“公平、公正、公开”的原则，通过科学严谨的教育教学质量综合考核指标，对教师教育教学质量进行综合考核，引导和激励广大教师积极主动投入教学工作，积极开展教育教学研究工作，促进教学方法和手段的改革创新，不断提高教育教学质量。考核结果作为教师专业技术职务评聘考核、评优评先等工作的重要参考依据。</w:t>
      </w:r>
    </w:p>
    <w:p>
      <w:pPr>
        <w:spacing w:line="360" w:lineRule="auto"/>
        <w:ind w:firstLine="549" w:firstLineChars="228"/>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二、考核组织</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1．组织领导</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学校成立以分管校领导任组长的校级教育教学质量综合考核工作领导小组，负责指导教师教学质量综合考核工作，领导小组下设考核办公室，挂靠教务处。各二级学院成立由院长任组长的院级教育教学质量综合考核领导小组，负责本学院教育教学质量具体考核的组织实施工作。</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2．任务分工</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考核办公室组织专家对申报教师系列职称的教学人员进行教育教学质量综合考核，在满足教育教学申报条件下，考核结果按照《内江师范学院教育教学质量综合考核指标》排名分类推荐，教育教学质量综合考核的统计口径与申报职称时间一致。</w:t>
      </w:r>
    </w:p>
    <w:p>
      <w:pPr>
        <w:spacing w:line="360" w:lineRule="auto"/>
        <w:ind w:firstLine="547" w:firstLineChars="228"/>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（2）各二级学院以综合考核指标为依据，组织所在学院的教师开展评优评先的考核工作，考核结果归档，并作为评优评先的重要参考依据。</w:t>
      </w:r>
    </w:p>
    <w:p>
      <w:pPr>
        <w:spacing w:line="360" w:lineRule="auto"/>
        <w:ind w:firstLine="482" w:firstLineChars="200"/>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三、考核内容及要求</w:t>
      </w:r>
    </w:p>
    <w:p>
      <w:pPr>
        <w:spacing w:line="360" w:lineRule="auto"/>
        <w:ind w:firstLine="480" w:firstLineChars="200"/>
        <w:jc w:val="left"/>
        <w:rPr>
          <w:rFonts w:asciiTheme="minorEastAsia" w:hAnsiTheme="minorEastAsia"/>
          <w:color w:val="000000" w:themeColor="text1"/>
          <w:kern w:val="0"/>
          <w:sz w:val="24"/>
          <w:szCs w:val="24"/>
          <w14:textFill>
            <w14:solidFill>
              <w14:schemeClr w14:val="tx1"/>
            </w14:solidFill>
          </w14:textFill>
        </w:rPr>
      </w:pPr>
      <w:bookmarkStart w:id="54" w:name="OLE_LINK22"/>
      <w:bookmarkStart w:id="55" w:name="OLE_LINK23"/>
      <w:r>
        <w:rPr>
          <w:rFonts w:hint="eastAsia" w:asciiTheme="minorEastAsia" w:hAnsiTheme="minorEastAsia"/>
          <w:color w:val="000000" w:themeColor="text1"/>
          <w:kern w:val="0"/>
          <w:sz w:val="24"/>
          <w:szCs w:val="24"/>
          <w14:textFill>
            <w14:solidFill>
              <w14:schemeClr w14:val="tx1"/>
            </w14:solidFill>
          </w14:textFill>
        </w:rPr>
        <w:t>教育教学质量综合考核指标</w:t>
      </w:r>
      <w:bookmarkEnd w:id="54"/>
      <w:bookmarkEnd w:id="55"/>
      <w:r>
        <w:rPr>
          <w:rFonts w:hint="eastAsia" w:asciiTheme="minorEastAsia" w:hAnsiTheme="minorEastAsia"/>
          <w:color w:val="000000" w:themeColor="text1"/>
          <w:kern w:val="0"/>
          <w:sz w:val="24"/>
          <w:szCs w:val="24"/>
          <w14:textFill>
            <w14:solidFill>
              <w14:schemeClr w14:val="tx1"/>
            </w14:solidFill>
          </w14:textFill>
        </w:rPr>
        <w:t>分为教学质量、教育教学改革研究、教学成果、创新创业教育、学科竞赛、教学工作量、教育教学荣誉称号等七个一级指标，每个指标的观测点、分值及要求见附件。</w:t>
      </w:r>
    </w:p>
    <w:p>
      <w:pPr>
        <w:spacing w:line="360" w:lineRule="auto"/>
        <w:ind w:firstLine="482" w:firstLineChars="200"/>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四、考核方式</w:t>
      </w:r>
    </w:p>
    <w:p>
      <w:pPr>
        <w:spacing w:line="360" w:lineRule="auto"/>
        <w:ind w:firstLine="480" w:firstLineChars="20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w:t>
      </w:r>
      <w:bookmarkStart w:id="56" w:name="OLE_LINK34"/>
      <w:bookmarkStart w:id="57" w:name="OLE_LINK33"/>
      <w:r>
        <w:rPr>
          <w:rFonts w:hint="eastAsia" w:asciiTheme="minorEastAsia" w:hAnsiTheme="minorEastAsia"/>
          <w:color w:val="000000" w:themeColor="text1"/>
          <w:kern w:val="0"/>
          <w:sz w:val="24"/>
          <w:szCs w:val="24"/>
          <w14:textFill>
            <w14:solidFill>
              <w14:schemeClr w14:val="tx1"/>
            </w14:solidFill>
          </w14:textFill>
        </w:rPr>
        <w:t>.依据</w:t>
      </w:r>
      <w:bookmarkEnd w:id="56"/>
      <w:bookmarkEnd w:id="57"/>
      <w:r>
        <w:rPr>
          <w:rFonts w:hint="eastAsia" w:asciiTheme="minorEastAsia" w:hAnsiTheme="minorEastAsia"/>
          <w:color w:val="000000" w:themeColor="text1"/>
          <w:kern w:val="0"/>
          <w:sz w:val="24"/>
          <w:szCs w:val="24"/>
          <w14:textFill>
            <w14:solidFill>
              <w14:schemeClr w14:val="tx1"/>
            </w14:solidFill>
          </w14:textFill>
        </w:rPr>
        <w:t>立项文件审核主持的教育教学研究项目。</w:t>
      </w:r>
    </w:p>
    <w:p>
      <w:pPr>
        <w:spacing w:line="360" w:lineRule="auto"/>
        <w:ind w:firstLine="480" w:firstLineChars="20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2.依据结题文件审核指导的大学生创新创业训练计划项目。</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3.依据获奖证书及学科竞赛管理办法审核学科竞赛获奖。</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4.依据教务管理系统审核教学工作量。</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5.依据获奖文件或证书审核教学成果奖。</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6.依据教材及使用证明审核教材。</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7.依据论文原件审核教研论文。</w:t>
      </w:r>
    </w:p>
    <w:p>
      <w:pPr>
        <w:spacing w:line="360" w:lineRule="auto"/>
        <w:ind w:left="48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8.依据相关文件认定优秀教师等荣誉称号。</w:t>
      </w:r>
    </w:p>
    <w:p>
      <w:pPr>
        <w:spacing w:line="360" w:lineRule="auto"/>
        <w:ind w:left="-126" w:leftChars="-60" w:firstLine="602" w:firstLineChars="250"/>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五、附则</w:t>
      </w:r>
    </w:p>
    <w:p>
      <w:pPr>
        <w:spacing w:line="360" w:lineRule="auto"/>
        <w:ind w:left="-126" w:leftChars="-60" w:firstLine="600" w:firstLineChars="250"/>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获奖级别认定，以竞赛、比赛主办单位颁发的获奖证书及文件为依据。同一项目在同一个竞赛、比赛项目中获多个不同级别竞赛奖项时，只计最高奖项，不重复计算；同一项目在同一竞赛项目的不同参赛项中获多个奖项时，只计最高奖项，不重复计算。</w:t>
      </w:r>
    </w:p>
    <w:p>
      <w:pPr>
        <w:spacing w:after="156" w:afterLines="50" w:line="360" w:lineRule="auto"/>
        <w:jc w:val="left"/>
        <w:rPr>
          <w:rFonts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 xml:space="preserve">    2.本办法自发布之日起执行，解释权归教务处。</w:t>
      </w:r>
    </w:p>
    <w:p>
      <w:pPr>
        <w:spacing w:line="360" w:lineRule="auto"/>
        <w:ind w:firstLine="364" w:firstLineChars="152"/>
        <w:jc w:val="left"/>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附件：内江师范学院教育教学质量综合考核评价指标</w:t>
      </w:r>
    </w:p>
    <w:p>
      <w:pPr>
        <w:spacing w:line="360" w:lineRule="auto"/>
        <w:ind w:firstLine="364" w:firstLineChars="152"/>
        <w:jc w:val="right"/>
        <w:rPr>
          <w:rFonts w:asciiTheme="minorEastAsia" w:hAnsiTheme="minorEastAsia"/>
          <w:color w:val="000000" w:themeColor="text1"/>
          <w:kern w:val="0"/>
          <w:sz w:val="24"/>
          <w:szCs w:val="24"/>
          <w14:textFill>
            <w14:solidFill>
              <w14:schemeClr w14:val="tx1"/>
            </w14:solidFill>
          </w14:textFill>
        </w:rPr>
      </w:pPr>
    </w:p>
    <w:p>
      <w:pPr>
        <w:spacing w:line="360" w:lineRule="auto"/>
        <w:ind w:firstLine="364" w:firstLineChars="152"/>
        <w:jc w:val="right"/>
        <w:rPr>
          <w:rFonts w:asciiTheme="minorEastAsia" w:hAnsiTheme="minorEastAsia"/>
          <w:color w:val="000000" w:themeColor="text1"/>
          <w:kern w:val="0"/>
          <w:sz w:val="24"/>
          <w:szCs w:val="24"/>
          <w14:textFill>
            <w14:solidFill>
              <w14:schemeClr w14:val="tx1"/>
            </w14:solidFill>
          </w14:textFill>
        </w:rPr>
      </w:pPr>
    </w:p>
    <w:p>
      <w:pPr>
        <w:spacing w:line="360" w:lineRule="auto"/>
        <w:ind w:firstLine="364" w:firstLineChars="152"/>
        <w:jc w:val="right"/>
        <w:rPr>
          <w:rFonts w:asciiTheme="minorEastAsia" w:hAnsiTheme="minorEastAsia"/>
          <w:color w:val="000000" w:themeColor="text1"/>
          <w:kern w:val="0"/>
          <w:sz w:val="24"/>
          <w:szCs w:val="24"/>
          <w14:textFill>
            <w14:solidFill>
              <w14:schemeClr w14:val="tx1"/>
            </w14:solidFill>
          </w14:textFill>
        </w:rPr>
        <w:sectPr>
          <w:pgSz w:w="11906" w:h="16838"/>
          <w:pgMar w:top="1417" w:right="1134" w:bottom="1134" w:left="1417" w:header="851" w:footer="992" w:gutter="0"/>
          <w:pgNumType w:fmt="decimal"/>
          <w:cols w:space="0" w:num="1"/>
          <w:docGrid w:type="lines" w:linePitch="312" w:charSpace="0"/>
        </w:sectPr>
      </w:pPr>
      <w:r>
        <w:rPr>
          <w:rFonts w:hint="eastAsia" w:asciiTheme="minorEastAsia" w:hAnsiTheme="minorEastAsia"/>
          <w:color w:val="000000" w:themeColor="text1"/>
          <w:kern w:val="0"/>
          <w:sz w:val="24"/>
          <w:szCs w:val="24"/>
          <w14:textFill>
            <w14:solidFill>
              <w14:schemeClr w14:val="tx1"/>
            </w14:solidFill>
          </w14:textFill>
        </w:rPr>
        <w:t>二○一八年六月二十日</w:t>
      </w:r>
    </w:p>
    <w:p>
      <w:pPr>
        <w:spacing w:line="360" w:lineRule="auto"/>
        <w:ind w:firstLine="427" w:firstLineChars="152"/>
        <w:rPr>
          <w:rFonts w:asciiTheme="minorEastAsia" w:hAnsiTheme="minorEastAsia"/>
          <w:b/>
          <w:color w:val="FF0000"/>
          <w:kern w:val="0"/>
          <w:sz w:val="32"/>
          <w:szCs w:val="32"/>
        </w:rPr>
      </w:pPr>
      <w:r>
        <w:rPr>
          <w:rFonts w:hint="eastAsia" w:asciiTheme="minorEastAsia" w:hAnsiTheme="minorEastAsia"/>
          <w:b/>
          <w:color w:val="000000" w:themeColor="text1"/>
          <w:kern w:val="0"/>
          <w:sz w:val="28"/>
          <w:szCs w:val="28"/>
          <w14:textFill>
            <w14:solidFill>
              <w14:schemeClr w14:val="tx1"/>
            </w14:solidFill>
          </w14:textFill>
        </w:rPr>
        <w:t xml:space="preserve">附件                     </w:t>
      </w:r>
      <w:r>
        <w:rPr>
          <w:rFonts w:hint="eastAsia" w:asciiTheme="minorEastAsia" w:hAnsiTheme="minorEastAsia"/>
          <w:b/>
          <w:color w:val="000000" w:themeColor="text1"/>
          <w:kern w:val="0"/>
          <w:sz w:val="32"/>
          <w:szCs w:val="32"/>
          <w14:textFill>
            <w14:solidFill>
              <w14:schemeClr w14:val="tx1"/>
            </w14:solidFill>
          </w14:textFill>
        </w:rPr>
        <w:t xml:space="preserve">  内江师范学院教育教学质量综合考核评价指标</w:t>
      </w: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1"/>
        <w:gridCol w:w="3291"/>
        <w:gridCol w:w="5023"/>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trPr>
        <w:tc>
          <w:tcPr>
            <w:tcW w:w="1077"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一级指标</w:t>
            </w:r>
          </w:p>
        </w:tc>
        <w:tc>
          <w:tcPr>
            <w:tcW w:w="2261"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二级指标</w:t>
            </w:r>
          </w:p>
        </w:tc>
        <w:tc>
          <w:tcPr>
            <w:tcW w:w="3291"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观测点</w:t>
            </w:r>
          </w:p>
        </w:tc>
        <w:tc>
          <w:tcPr>
            <w:tcW w:w="5023"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分值</w:t>
            </w:r>
          </w:p>
        </w:tc>
        <w:tc>
          <w:tcPr>
            <w:tcW w:w="2522"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77"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教学质量</w:t>
            </w: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教学质量考核参照《内江师范学院教学质量考核实施办法》</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专家、同行、学生评教</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专家、同行、学生评教的分值比例为7：2：1</w:t>
            </w:r>
          </w:p>
        </w:tc>
        <w:tc>
          <w:tcPr>
            <w:tcW w:w="2522" w:type="dxa"/>
            <w:vAlign w:val="center"/>
          </w:tcPr>
          <w:p>
            <w:pPr>
              <w:widowControl/>
              <w:spacing w:line="320" w:lineRule="exact"/>
              <w:rPr>
                <w:rFonts w:ascii="方正仿宋简体" w:hAnsi="黑体" w:eastAsia="方正仿宋简体" w:cs="Times New Roman"/>
                <w:szCs w:val="32"/>
              </w:rPr>
            </w:pPr>
            <w:r>
              <w:rPr>
                <w:rFonts w:hint="eastAsia" w:ascii="方正仿宋简体" w:hAnsi="黑体" w:eastAsia="方正仿宋简体" w:cs="Times New Roman"/>
                <w:szCs w:val="32"/>
              </w:rPr>
              <w:t>分值20分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校级教学名师</w:t>
            </w:r>
          </w:p>
        </w:tc>
        <w:tc>
          <w:tcPr>
            <w:tcW w:w="3291"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获奖证书</w:t>
            </w:r>
          </w:p>
        </w:tc>
        <w:tc>
          <w:tcPr>
            <w:tcW w:w="5023"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20分</w:t>
            </w:r>
          </w:p>
        </w:tc>
        <w:tc>
          <w:tcPr>
            <w:tcW w:w="2522"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教学能手</w:t>
            </w:r>
          </w:p>
        </w:tc>
        <w:tc>
          <w:tcPr>
            <w:tcW w:w="3291"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获奖证书</w:t>
            </w:r>
          </w:p>
        </w:tc>
        <w:tc>
          <w:tcPr>
            <w:tcW w:w="5023"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15分</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国家级讲课比赛</w:t>
            </w:r>
          </w:p>
        </w:tc>
        <w:tc>
          <w:tcPr>
            <w:tcW w:w="3291" w:type="dxa"/>
            <w:vMerge w:val="restart"/>
            <w:vAlign w:val="center"/>
          </w:tcPr>
          <w:p>
            <w:pPr>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获奖证书</w:t>
            </w:r>
          </w:p>
        </w:tc>
        <w:tc>
          <w:tcPr>
            <w:tcW w:w="5023" w:type="dxa"/>
          </w:tcPr>
          <w:p>
            <w:pPr>
              <w:widowControl/>
              <w:spacing w:line="360" w:lineRule="exact"/>
              <w:jc w:val="left"/>
              <w:rPr>
                <w:rFonts w:ascii="方正仿宋简体" w:hAnsi="黑体" w:eastAsia="方正仿宋简体" w:cs="Times New Roman"/>
                <w:color w:val="000000" w:themeColor="text1"/>
                <w:sz w:val="20"/>
                <w:szCs w:val="32"/>
                <w14:textFill>
                  <w14:solidFill>
                    <w14:schemeClr w14:val="tx1"/>
                  </w14:solidFill>
                </w14:textFill>
              </w:rPr>
            </w:pPr>
            <w:r>
              <w:rPr>
                <w:rFonts w:hint="eastAsia" w:ascii="方正仿宋简体" w:hAnsi="黑体" w:eastAsia="方正仿宋简体" w:cs="Times New Roman"/>
                <w:color w:val="000000" w:themeColor="text1"/>
                <w:sz w:val="20"/>
                <w:szCs w:val="32"/>
                <w14:textFill>
                  <w14:solidFill>
                    <w14:schemeClr w14:val="tx1"/>
                  </w14:solidFill>
                </w14:textFill>
              </w:rPr>
              <w:t>一、二、三等奖分别为30分、20分、15分/项</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省级讲课比赛</w:t>
            </w:r>
          </w:p>
        </w:tc>
        <w:tc>
          <w:tcPr>
            <w:tcW w:w="3291" w:type="dxa"/>
            <w:vMerge w:val="continue"/>
          </w:tcPr>
          <w:p>
            <w:pPr>
              <w:spacing w:line="360" w:lineRule="exact"/>
              <w:jc w:val="left"/>
              <w:rPr>
                <w:rFonts w:ascii="方正仿宋简体" w:hAnsi="黑体" w:eastAsia="方正仿宋简体" w:cs="Times New Roman"/>
                <w:color w:val="000000" w:themeColor="text1"/>
                <w:szCs w:val="32"/>
                <w14:textFill>
                  <w14:solidFill>
                    <w14:schemeClr w14:val="tx1"/>
                  </w14:solidFill>
                </w14:textFill>
              </w:rPr>
            </w:pPr>
          </w:p>
        </w:tc>
        <w:tc>
          <w:tcPr>
            <w:tcW w:w="5023" w:type="dxa"/>
          </w:tcPr>
          <w:p>
            <w:pPr>
              <w:widowControl/>
              <w:spacing w:line="360" w:lineRule="exact"/>
              <w:jc w:val="left"/>
              <w:rPr>
                <w:rFonts w:ascii="方正仿宋简体" w:hAnsi="黑体" w:eastAsia="方正仿宋简体" w:cs="Times New Roman"/>
                <w:color w:val="000000" w:themeColor="text1"/>
                <w:sz w:val="20"/>
                <w:szCs w:val="32"/>
                <w14:textFill>
                  <w14:solidFill>
                    <w14:schemeClr w14:val="tx1"/>
                  </w14:solidFill>
                </w14:textFill>
              </w:rPr>
            </w:pPr>
            <w:r>
              <w:rPr>
                <w:rFonts w:hint="eastAsia" w:ascii="方正仿宋简体" w:hAnsi="黑体" w:eastAsia="方正仿宋简体" w:cs="Times New Roman"/>
                <w:color w:val="000000" w:themeColor="text1"/>
                <w:sz w:val="20"/>
                <w:szCs w:val="32"/>
                <w14:textFill>
                  <w14:solidFill>
                    <w14:schemeClr w14:val="tx1"/>
                  </w14:solidFill>
                </w14:textFill>
              </w:rPr>
              <w:t>一、二、三等奖分别为20分、15分、10分/项</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校级（市级）讲课比赛</w:t>
            </w:r>
          </w:p>
        </w:tc>
        <w:tc>
          <w:tcPr>
            <w:tcW w:w="3291" w:type="dxa"/>
            <w:vMerge w:val="continue"/>
          </w:tcPr>
          <w:p>
            <w:pPr>
              <w:widowControl/>
              <w:spacing w:line="360" w:lineRule="exact"/>
              <w:jc w:val="left"/>
              <w:rPr>
                <w:rFonts w:ascii="方正仿宋简体" w:hAnsi="黑体" w:eastAsia="方正仿宋简体" w:cs="Times New Roman"/>
                <w:szCs w:val="32"/>
              </w:rPr>
            </w:pPr>
          </w:p>
        </w:tc>
        <w:tc>
          <w:tcPr>
            <w:tcW w:w="5023"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一、二、三等奖分别为15分、10分、7分</w:t>
            </w:r>
            <w:r>
              <w:rPr>
                <w:rFonts w:hint="eastAsia" w:ascii="方正仿宋简体" w:hAnsi="黑体" w:eastAsia="方正仿宋简体" w:cs="Times New Roman"/>
                <w:color w:val="000000" w:themeColor="text1"/>
                <w:sz w:val="20"/>
                <w:szCs w:val="32"/>
                <w14:textFill>
                  <w14:solidFill>
                    <w14:schemeClr w14:val="tx1"/>
                  </w14:solidFill>
                </w14:textFill>
              </w:rPr>
              <w:t>/项</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77" w:type="dxa"/>
            <w:vMerge w:val="continue"/>
            <w:vAlign w:val="center"/>
          </w:tcPr>
          <w:p>
            <w:pPr>
              <w:widowControl/>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我最喜欢的老师</w:t>
            </w:r>
          </w:p>
        </w:tc>
        <w:tc>
          <w:tcPr>
            <w:tcW w:w="3291"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获奖证书</w:t>
            </w:r>
          </w:p>
        </w:tc>
        <w:tc>
          <w:tcPr>
            <w:tcW w:w="5023" w:type="dxa"/>
          </w:tcPr>
          <w:p>
            <w:pPr>
              <w:widowControl/>
              <w:spacing w:line="360" w:lineRule="exact"/>
              <w:jc w:val="left"/>
              <w:rPr>
                <w:rFonts w:ascii="方正仿宋简体" w:hAnsi="黑体" w:eastAsia="方正仿宋简体" w:cs="Times New Roman"/>
                <w:szCs w:val="32"/>
              </w:rPr>
            </w:pPr>
            <w:r>
              <w:rPr>
                <w:rFonts w:hint="eastAsia" w:ascii="方正仿宋简体" w:hAnsi="黑体" w:eastAsia="方正仿宋简体" w:cs="Times New Roman"/>
                <w:szCs w:val="32"/>
              </w:rPr>
              <w:t>10分</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77"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教育教学</w:t>
            </w:r>
          </w:p>
          <w:p>
            <w:pPr>
              <w:widowControl/>
              <w:rPr>
                <w:rFonts w:ascii="方正仿宋简体" w:hAnsi="黑体" w:eastAsia="方正仿宋简体" w:cs="Times New Roman"/>
                <w:szCs w:val="32"/>
              </w:rPr>
            </w:pPr>
            <w:r>
              <w:rPr>
                <w:rFonts w:hint="eastAsia" w:ascii="方正仿宋简体" w:hAnsi="黑体" w:eastAsia="方正仿宋简体" w:cs="Times New Roman"/>
                <w:szCs w:val="32"/>
              </w:rPr>
              <w:t>改革研究</w:t>
            </w: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国家级</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立项文件（主持）</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30分/项</w:t>
            </w:r>
          </w:p>
        </w:tc>
        <w:tc>
          <w:tcPr>
            <w:tcW w:w="2522" w:type="dxa"/>
            <w:vMerge w:val="restart"/>
            <w:vAlign w:val="center"/>
          </w:tcPr>
          <w:p>
            <w:pPr>
              <w:widowControl/>
              <w:spacing w:line="260" w:lineRule="exact"/>
              <w:rPr>
                <w:rFonts w:ascii="方正仿宋简体" w:hAnsi="黑体" w:eastAsia="方正仿宋简体" w:cs="Times New Roman"/>
                <w:szCs w:val="32"/>
              </w:rPr>
            </w:pPr>
            <w:r>
              <w:rPr>
                <w:rFonts w:hint="eastAsia" w:ascii="方正仿宋简体" w:hAnsi="黑体" w:eastAsia="方正仿宋简体" w:cs="Times New Roman"/>
                <w:sz w:val="15"/>
                <w:szCs w:val="32"/>
              </w:rPr>
              <w:t>加分项(综合类项目分值在此基础上翻倍。综合类项目指以专业、实验教学中心、校外实践基地等为平台进行建设的教研项目。) 综合类项目</w:t>
            </w:r>
            <w:r>
              <w:rPr>
                <w:rFonts w:hint="eastAsia" w:ascii="方正仿宋简体" w:hAnsi="黑体" w:eastAsia="方正仿宋简体" w:cs="Times New Roman"/>
                <w:color w:val="000000" w:themeColor="text1"/>
                <w:sz w:val="15"/>
                <w:szCs w:val="32"/>
                <w14:textFill>
                  <w14:solidFill>
                    <w14:schemeClr w14:val="tx1"/>
                  </w14:solidFill>
                </w14:textFill>
              </w:rPr>
              <w:t>以《内江师范学院教育教学改革研究项目管理办法》为依据。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77" w:type="dxa"/>
            <w:vMerge w:val="continue"/>
          </w:tcPr>
          <w:p>
            <w:pPr>
              <w:widowControl/>
              <w:jc w:val="left"/>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省级</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立项文件（主持）</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省级重点15分/项，一般10分/项</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077" w:type="dxa"/>
            <w:vMerge w:val="continue"/>
          </w:tcPr>
          <w:p>
            <w:pPr>
              <w:widowControl/>
              <w:jc w:val="left"/>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校级（市级）</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立项文件（主持）</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5分/项</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77" w:type="dxa"/>
            <w:vMerge w:val="restart"/>
            <w:vAlign w:val="center"/>
          </w:tcPr>
          <w:p>
            <w:pPr>
              <w:rPr>
                <w:rFonts w:ascii="方正仿宋简体" w:hAnsi="黑体" w:eastAsia="方正仿宋简体" w:cs="Times New Roman"/>
                <w:szCs w:val="32"/>
              </w:rPr>
            </w:pPr>
            <w:r>
              <w:rPr>
                <w:rFonts w:hint="eastAsia" w:ascii="方正仿宋简体" w:hAnsi="黑体" w:eastAsia="方正仿宋简体" w:cs="Times New Roman"/>
                <w:szCs w:val="32"/>
              </w:rPr>
              <w:t>教学成果</w:t>
            </w: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教研论文（公开发表）</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论文原件</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核心期刊3分/篇，一般期刊1分/篇</w:t>
            </w:r>
          </w:p>
        </w:tc>
        <w:tc>
          <w:tcPr>
            <w:tcW w:w="2522" w:type="dxa"/>
            <w:vMerge w:val="restart"/>
            <w:vAlign w:val="center"/>
          </w:tcPr>
          <w:p>
            <w:pPr>
              <w:rPr>
                <w:rFonts w:ascii="方正仿宋简体" w:hAnsi="黑体" w:eastAsia="方正仿宋简体" w:cs="Times New Roman"/>
                <w:szCs w:val="32"/>
              </w:rPr>
            </w:pPr>
            <w:r>
              <w:rPr>
                <w:rFonts w:hint="eastAsia" w:ascii="方正仿宋简体" w:hAnsi="黑体" w:eastAsia="方正仿宋简体" w:cs="Times New Roman"/>
                <w:szCs w:val="3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077" w:type="dxa"/>
            <w:vMerge w:val="continue"/>
          </w:tcPr>
          <w:p>
            <w:pPr>
              <w:widowControl/>
              <w:jc w:val="left"/>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教材</w:t>
            </w:r>
          </w:p>
        </w:tc>
        <w:tc>
          <w:tcPr>
            <w:tcW w:w="329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教材及使用证明（主编）</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10分/部</w:t>
            </w:r>
          </w:p>
        </w:tc>
        <w:tc>
          <w:tcPr>
            <w:tcW w:w="2522" w:type="dxa"/>
            <w:vMerge w:val="continue"/>
          </w:tcPr>
          <w:p>
            <w:pPr>
              <w:widowControl/>
              <w:jc w:val="left"/>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77" w:type="dxa"/>
            <w:vMerge w:val="continue"/>
          </w:tcPr>
          <w:p>
            <w:pPr>
              <w:widowControl/>
              <w:jc w:val="left"/>
              <w:rPr>
                <w:rFonts w:ascii="方正仿宋简体" w:hAnsi="黑体" w:eastAsia="方正仿宋简体" w:cs="Times New Roman"/>
                <w:szCs w:val="32"/>
              </w:rPr>
            </w:pPr>
          </w:p>
        </w:tc>
        <w:tc>
          <w:tcPr>
            <w:tcW w:w="226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教学成果奖</w:t>
            </w:r>
          </w:p>
        </w:tc>
        <w:tc>
          <w:tcPr>
            <w:tcW w:w="3291" w:type="dxa"/>
            <w:vAlign w:val="center"/>
          </w:tcPr>
          <w:p>
            <w:pPr>
              <w:widowControl/>
              <w:spacing w:line="360" w:lineRule="exact"/>
              <w:rPr>
                <w:rFonts w:ascii="方正仿宋简体" w:hAnsi="黑体" w:eastAsia="方正仿宋简体" w:cs="Times New Roman"/>
                <w:sz w:val="16"/>
                <w:szCs w:val="32"/>
              </w:rPr>
            </w:pPr>
            <w:r>
              <w:rPr>
                <w:rFonts w:hint="eastAsia" w:ascii="方正仿宋简体" w:hAnsi="黑体" w:eastAsia="方正仿宋简体" w:cs="Times New Roman"/>
                <w:sz w:val="20"/>
                <w:szCs w:val="32"/>
              </w:rPr>
              <w:t>获奖文件（内江师范学院为第一获奖单位）</w:t>
            </w:r>
          </w:p>
        </w:tc>
        <w:tc>
          <w:tcPr>
            <w:tcW w:w="5023"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国家级一、二等奖分别为80分、40分/项；省级一、二、三等奖分别为20分、10分、8分/项；校级教学成果奖一、二、三等奖分别为8分、5分、3分/项</w:t>
            </w:r>
          </w:p>
        </w:tc>
        <w:tc>
          <w:tcPr>
            <w:tcW w:w="2522" w:type="dxa"/>
            <w:vMerge w:val="continue"/>
          </w:tcPr>
          <w:p>
            <w:pPr>
              <w:widowControl/>
              <w:jc w:val="left"/>
              <w:rPr>
                <w:rFonts w:ascii="方正仿宋简体" w:hAnsi="黑体" w:eastAsia="方正仿宋简体" w:cs="Times New Roman"/>
                <w:szCs w:val="32"/>
              </w:rPr>
            </w:pPr>
          </w:p>
        </w:tc>
      </w:tr>
    </w:tbl>
    <w:p>
      <w:pPr>
        <w:widowControl/>
        <w:jc w:val="left"/>
        <w:rPr>
          <w:rFonts w:hint="eastAsia" w:ascii="方正仿宋简体" w:hAnsi="黑体" w:eastAsia="方正仿宋简体"/>
          <w:szCs w:val="32"/>
        </w:rPr>
      </w:pP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402"/>
        <w:gridCol w:w="2551"/>
        <w:gridCol w:w="469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26"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一级指标</w:t>
            </w:r>
          </w:p>
        </w:tc>
        <w:tc>
          <w:tcPr>
            <w:tcW w:w="3402"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二级指标</w:t>
            </w:r>
          </w:p>
        </w:tc>
        <w:tc>
          <w:tcPr>
            <w:tcW w:w="2551"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观测点</w:t>
            </w:r>
          </w:p>
        </w:tc>
        <w:tc>
          <w:tcPr>
            <w:tcW w:w="4695"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分值</w:t>
            </w:r>
          </w:p>
        </w:tc>
        <w:tc>
          <w:tcPr>
            <w:tcW w:w="2000" w:type="dxa"/>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eastAsia="宋体" w:cs="Times New Roman" w:asciiTheme="minorEastAsia" w:hAnsiTheme="minorEastAsia"/>
                <w:b/>
                <w:color w:val="000000" w:themeColor="text1"/>
                <w:kern w:val="0"/>
                <w:sz w:val="22"/>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26" w:type="dxa"/>
            <w:vMerge w:val="restart"/>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ascii="方正仿宋简体" w:hAnsi="黑体" w:eastAsia="方正仿宋简体" w:cs="Times New Roman"/>
                <w:szCs w:val="32"/>
              </w:rPr>
              <w:t>创新创业教育</w:t>
            </w:r>
          </w:p>
        </w:tc>
        <w:tc>
          <w:tcPr>
            <w:tcW w:w="3402"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中国“互联网+”大学生创新创业大赛</w:t>
            </w:r>
          </w:p>
        </w:tc>
        <w:tc>
          <w:tcPr>
            <w:tcW w:w="255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 xml:space="preserve">获奖证书 </w:t>
            </w:r>
          </w:p>
        </w:tc>
        <w:tc>
          <w:tcPr>
            <w:tcW w:w="4695"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国家级一、二、三等奖分别为30分、25分、20分/项；省级一、二、三等奖分别为15分、10分、5分/项</w:t>
            </w:r>
          </w:p>
        </w:tc>
        <w:tc>
          <w:tcPr>
            <w:tcW w:w="2000" w:type="dxa"/>
            <w:vMerge w:val="restart"/>
            <w:vAlign w:val="center"/>
          </w:tcPr>
          <w:p>
            <w:pPr>
              <w:widowControl/>
              <w:jc w:val="left"/>
              <w:rPr>
                <w:rFonts w:eastAsia="宋体" w:cs="Times New Roman" w:asciiTheme="minorEastAsia" w:hAnsiTheme="minorEastAsia"/>
                <w:b/>
                <w:color w:val="000000" w:themeColor="text1"/>
                <w:kern w:val="0"/>
                <w:sz w:val="22"/>
                <w:szCs w:val="28"/>
                <w14:textFill>
                  <w14:solidFill>
                    <w14:schemeClr w14:val="tx1"/>
                  </w14:solidFill>
                </w14:textFill>
              </w:rPr>
            </w:pPr>
            <w:r>
              <w:rPr>
                <w:rFonts w:hint="eastAsia" w:ascii="方正仿宋简体" w:hAnsi="黑体" w:eastAsia="方正仿宋简体" w:cs="Times New Roman"/>
                <w:szCs w:val="3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26" w:type="dxa"/>
            <w:vMerge w:val="continue"/>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p>
        </w:tc>
        <w:tc>
          <w:tcPr>
            <w:tcW w:w="3402"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大学生创新创业训练计划项目</w:t>
            </w:r>
          </w:p>
        </w:tc>
        <w:tc>
          <w:tcPr>
            <w:tcW w:w="2551"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结题文件</w:t>
            </w:r>
          </w:p>
        </w:tc>
        <w:tc>
          <w:tcPr>
            <w:tcW w:w="4695" w:type="dxa"/>
            <w:vAlign w:val="center"/>
          </w:tcPr>
          <w:p>
            <w:pPr>
              <w:widowControl/>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国家级2分/项 ；省级1分/项</w:t>
            </w:r>
          </w:p>
        </w:tc>
        <w:tc>
          <w:tcPr>
            <w:tcW w:w="2000" w:type="dxa"/>
            <w:vMerge w:val="continue"/>
            <w:vAlign w:val="center"/>
          </w:tcPr>
          <w:p>
            <w:pPr>
              <w:widowControl/>
              <w:jc w:val="center"/>
              <w:rPr>
                <w:rFonts w:eastAsia="宋体" w:cs="Times New Roman" w:asciiTheme="minorEastAsia" w:hAnsiTheme="minorEastAsia"/>
                <w:b/>
                <w:color w:val="000000" w:themeColor="text1"/>
                <w:kern w:val="0"/>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 xml:space="preserve">学科竞赛 </w:t>
            </w:r>
          </w:p>
        </w:tc>
        <w:tc>
          <w:tcPr>
            <w:tcW w:w="3402"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国家级</w:t>
            </w:r>
          </w:p>
        </w:tc>
        <w:tc>
          <w:tcPr>
            <w:tcW w:w="2551"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获奖证书</w:t>
            </w: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一类国家级一、二、三等奖分别为6分、5分、4分/项</w:t>
            </w:r>
          </w:p>
        </w:tc>
        <w:tc>
          <w:tcPr>
            <w:tcW w:w="2000"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vMerge w:val="continue"/>
            <w:vAlign w:val="center"/>
          </w:tcPr>
          <w:p>
            <w:pPr>
              <w:widowControl/>
              <w:rPr>
                <w:rFonts w:ascii="方正仿宋简体" w:hAnsi="黑体" w:eastAsia="方正仿宋简体" w:cs="Times New Roman"/>
                <w:szCs w:val="32"/>
              </w:rPr>
            </w:pPr>
          </w:p>
        </w:tc>
        <w:tc>
          <w:tcPr>
            <w:tcW w:w="3402"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省级</w:t>
            </w:r>
          </w:p>
        </w:tc>
        <w:tc>
          <w:tcPr>
            <w:tcW w:w="2551"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获奖证书</w:t>
            </w: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一类省级一、二、三等奖分别为3分、2分、1分/项</w:t>
            </w:r>
          </w:p>
        </w:tc>
        <w:tc>
          <w:tcPr>
            <w:tcW w:w="2000" w:type="dxa"/>
            <w:vMerge w:val="continue"/>
            <w:vAlign w:val="center"/>
          </w:tcPr>
          <w:p>
            <w:pPr>
              <w:widowControl/>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526"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教育教学</w:t>
            </w:r>
          </w:p>
          <w:p>
            <w:pPr>
              <w:widowControl/>
              <w:rPr>
                <w:rFonts w:ascii="方正仿宋简体" w:hAnsi="黑体" w:eastAsia="方正仿宋简体" w:cs="Times New Roman"/>
                <w:szCs w:val="32"/>
              </w:rPr>
            </w:pPr>
            <w:r>
              <w:rPr>
                <w:rFonts w:hint="eastAsia" w:ascii="方正仿宋简体" w:hAnsi="黑体" w:eastAsia="方正仿宋简体" w:cs="Times New Roman"/>
                <w:szCs w:val="32"/>
              </w:rPr>
              <w:t>荣誉称号</w:t>
            </w:r>
          </w:p>
        </w:tc>
        <w:tc>
          <w:tcPr>
            <w:tcW w:w="3402" w:type="dxa"/>
            <w:vAlign w:val="center"/>
          </w:tcPr>
          <w:p>
            <w:pPr>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国家级优秀教师系列荣誉称号</w:t>
            </w:r>
          </w:p>
        </w:tc>
        <w:tc>
          <w:tcPr>
            <w:tcW w:w="2551" w:type="dxa"/>
            <w:vMerge w:val="restart"/>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文件</w:t>
            </w: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30分/项</w:t>
            </w:r>
          </w:p>
        </w:tc>
        <w:tc>
          <w:tcPr>
            <w:tcW w:w="2000" w:type="dxa"/>
            <w:vMerge w:val="restart"/>
            <w:vAlign w:val="center"/>
          </w:tcPr>
          <w:p>
            <w:pPr>
              <w:rPr>
                <w:rFonts w:ascii="方正仿宋简体" w:hAnsi="黑体" w:eastAsia="方正仿宋简体" w:cs="Times New Roman"/>
                <w:szCs w:val="32"/>
              </w:rPr>
            </w:pPr>
            <w:r>
              <w:rPr>
                <w:rFonts w:hint="eastAsia" w:ascii="方正仿宋简体" w:hAnsi="黑体" w:eastAsia="方正仿宋简体" w:cs="Times New Roman"/>
                <w:szCs w:val="3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526" w:type="dxa"/>
            <w:vMerge w:val="continue"/>
            <w:vAlign w:val="center"/>
          </w:tcPr>
          <w:p>
            <w:pPr>
              <w:widowControl/>
              <w:rPr>
                <w:rFonts w:ascii="方正仿宋简体" w:hAnsi="黑体" w:eastAsia="方正仿宋简体" w:cs="Times New Roman"/>
                <w:szCs w:val="32"/>
              </w:rPr>
            </w:pPr>
          </w:p>
        </w:tc>
        <w:tc>
          <w:tcPr>
            <w:tcW w:w="3402" w:type="dxa"/>
            <w:vAlign w:val="center"/>
          </w:tcPr>
          <w:p>
            <w:pPr>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省级优秀教师系列荣誉称号</w:t>
            </w:r>
          </w:p>
        </w:tc>
        <w:tc>
          <w:tcPr>
            <w:tcW w:w="2551" w:type="dxa"/>
            <w:vMerge w:val="continue"/>
            <w:vAlign w:val="center"/>
          </w:tcPr>
          <w:p>
            <w:pPr>
              <w:spacing w:line="360" w:lineRule="exact"/>
              <w:rPr>
                <w:rFonts w:ascii="方正仿宋简体" w:hAnsi="黑体" w:eastAsia="方正仿宋简体" w:cs="Times New Roman"/>
                <w:szCs w:val="32"/>
              </w:rPr>
            </w:pP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10分/项</w:t>
            </w:r>
          </w:p>
        </w:tc>
        <w:tc>
          <w:tcPr>
            <w:tcW w:w="2000" w:type="dxa"/>
            <w:vMerge w:val="continue"/>
            <w:vAlign w:val="center"/>
          </w:tcPr>
          <w:p>
            <w:pPr>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526" w:type="dxa"/>
            <w:vMerge w:val="continue"/>
            <w:vAlign w:val="center"/>
          </w:tcPr>
          <w:p>
            <w:pPr>
              <w:widowControl/>
              <w:rPr>
                <w:rFonts w:ascii="方正仿宋简体" w:hAnsi="黑体" w:eastAsia="方正仿宋简体" w:cs="Times New Roman"/>
                <w:szCs w:val="32"/>
              </w:rPr>
            </w:pPr>
          </w:p>
        </w:tc>
        <w:tc>
          <w:tcPr>
            <w:tcW w:w="3402" w:type="dxa"/>
            <w:vAlign w:val="center"/>
          </w:tcPr>
          <w:p>
            <w:pPr>
              <w:widowControl/>
              <w:spacing w:line="360" w:lineRule="exact"/>
              <w:rPr>
                <w:rFonts w:ascii="方正仿宋简体" w:hAnsi="黑体" w:eastAsia="方正仿宋简体" w:cs="Times New Roman"/>
                <w:color w:val="000000" w:themeColor="text1"/>
                <w:szCs w:val="32"/>
                <w14:textFill>
                  <w14:solidFill>
                    <w14:schemeClr w14:val="tx1"/>
                  </w14:solidFill>
                </w14:textFill>
              </w:rPr>
            </w:pPr>
            <w:r>
              <w:rPr>
                <w:rFonts w:hint="eastAsia" w:ascii="方正仿宋简体" w:hAnsi="黑体" w:eastAsia="方正仿宋简体" w:cs="Times New Roman"/>
                <w:color w:val="000000" w:themeColor="text1"/>
                <w:szCs w:val="32"/>
                <w14:textFill>
                  <w14:solidFill>
                    <w14:schemeClr w14:val="tx1"/>
                  </w14:solidFill>
                </w14:textFill>
              </w:rPr>
              <w:t>校级优秀论文指导教师、优秀实习指导教师、优秀教师、优秀教学管理人员、优秀辅导员、优秀教育工作者</w:t>
            </w:r>
          </w:p>
        </w:tc>
        <w:tc>
          <w:tcPr>
            <w:tcW w:w="2551" w:type="dxa"/>
            <w:vMerge w:val="continue"/>
            <w:vAlign w:val="center"/>
          </w:tcPr>
          <w:p>
            <w:pPr>
              <w:widowControl/>
              <w:spacing w:line="360" w:lineRule="exact"/>
              <w:rPr>
                <w:rFonts w:ascii="方正仿宋简体" w:hAnsi="黑体" w:eastAsia="方正仿宋简体" w:cs="Times New Roman"/>
                <w:szCs w:val="32"/>
              </w:rPr>
            </w:pP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3分/项</w:t>
            </w:r>
          </w:p>
        </w:tc>
        <w:tc>
          <w:tcPr>
            <w:tcW w:w="2000" w:type="dxa"/>
            <w:vMerge w:val="continue"/>
            <w:vAlign w:val="center"/>
          </w:tcPr>
          <w:p>
            <w:pPr>
              <w:widowControl/>
              <w:rPr>
                <w:rFonts w:ascii="方正仿宋简体" w:hAnsi="黑体" w:eastAsia="方正仿宋简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26"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教学工作量</w:t>
            </w:r>
          </w:p>
        </w:tc>
        <w:tc>
          <w:tcPr>
            <w:tcW w:w="3402"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门数</w:t>
            </w:r>
          </w:p>
        </w:tc>
        <w:tc>
          <w:tcPr>
            <w:tcW w:w="2551" w:type="dxa"/>
            <w:vMerge w:val="restart"/>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独立承担教学任务</w:t>
            </w: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独立承担课程每一门加1分，累计加分不超过3分</w:t>
            </w:r>
          </w:p>
        </w:tc>
        <w:tc>
          <w:tcPr>
            <w:tcW w:w="2000" w:type="dxa"/>
            <w:vMerge w:val="restart"/>
            <w:vAlign w:val="center"/>
          </w:tcPr>
          <w:p>
            <w:pPr>
              <w:widowControl/>
              <w:rPr>
                <w:rFonts w:ascii="方正仿宋简体" w:hAnsi="黑体" w:eastAsia="方正仿宋简体" w:cs="Times New Roman"/>
                <w:szCs w:val="32"/>
              </w:rPr>
            </w:pPr>
            <w:r>
              <w:rPr>
                <w:rFonts w:hint="eastAsia" w:ascii="方正仿宋简体" w:hAnsi="黑体" w:eastAsia="方正仿宋简体" w:cs="Times New Roman"/>
                <w:szCs w:val="32"/>
              </w:rPr>
              <w:t>分值不超过6分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26" w:type="dxa"/>
            <w:vMerge w:val="continue"/>
          </w:tcPr>
          <w:p>
            <w:pPr>
              <w:widowControl/>
              <w:jc w:val="left"/>
              <w:rPr>
                <w:rFonts w:ascii="方正仿宋简体" w:hAnsi="黑体" w:eastAsia="方正仿宋简体" w:cs="Times New Roman"/>
                <w:szCs w:val="32"/>
              </w:rPr>
            </w:pPr>
          </w:p>
        </w:tc>
        <w:tc>
          <w:tcPr>
            <w:tcW w:w="3402"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总时数</w:t>
            </w:r>
          </w:p>
        </w:tc>
        <w:tc>
          <w:tcPr>
            <w:tcW w:w="2551" w:type="dxa"/>
            <w:vMerge w:val="continue"/>
            <w:vAlign w:val="center"/>
          </w:tcPr>
          <w:p>
            <w:pPr>
              <w:spacing w:line="360" w:lineRule="exact"/>
              <w:rPr>
                <w:rFonts w:ascii="方正仿宋简体" w:hAnsi="黑体" w:eastAsia="方正仿宋简体" w:cs="Times New Roman"/>
                <w:szCs w:val="32"/>
              </w:rPr>
            </w:pPr>
          </w:p>
        </w:tc>
        <w:tc>
          <w:tcPr>
            <w:tcW w:w="4695" w:type="dxa"/>
            <w:vAlign w:val="center"/>
          </w:tcPr>
          <w:p>
            <w:pPr>
              <w:spacing w:line="360" w:lineRule="exact"/>
              <w:rPr>
                <w:rFonts w:ascii="方正仿宋简体" w:hAnsi="黑体" w:eastAsia="方正仿宋简体" w:cs="Times New Roman"/>
                <w:szCs w:val="32"/>
              </w:rPr>
            </w:pPr>
            <w:r>
              <w:rPr>
                <w:rFonts w:hint="eastAsia" w:ascii="方正仿宋简体" w:hAnsi="黑体" w:eastAsia="方正仿宋简体" w:cs="Times New Roman"/>
                <w:szCs w:val="32"/>
              </w:rPr>
              <w:t>以平均220课时/年为基数，独立承担课时总数每超过32学时加1分，累计加分不超过3分</w:t>
            </w:r>
          </w:p>
        </w:tc>
        <w:tc>
          <w:tcPr>
            <w:tcW w:w="2000" w:type="dxa"/>
            <w:vMerge w:val="continue"/>
          </w:tcPr>
          <w:p>
            <w:pPr>
              <w:widowControl/>
              <w:jc w:val="left"/>
              <w:rPr>
                <w:rFonts w:ascii="方正仿宋简体" w:hAnsi="黑体" w:eastAsia="方正仿宋简体" w:cs="Times New Roman"/>
                <w:szCs w:val="32"/>
              </w:rPr>
            </w:pPr>
          </w:p>
        </w:tc>
      </w:tr>
    </w:tbl>
    <w:p>
      <w:pPr>
        <w:widowControl/>
        <w:jc w:val="left"/>
        <w:rPr>
          <w:rFonts w:asciiTheme="minorEastAsia" w:hAnsiTheme="minorEastAsia"/>
          <w:b/>
          <w:color w:val="000000" w:themeColor="text1"/>
          <w:kern w:val="0"/>
          <w:sz w:val="22"/>
          <w:szCs w:val="28"/>
          <w14:textFill>
            <w14:solidFill>
              <w14:schemeClr w14:val="tx1"/>
            </w14:solidFill>
          </w14:textFill>
        </w:rPr>
      </w:pPr>
      <w:r>
        <w:rPr>
          <w:rFonts w:hint="eastAsia" w:asciiTheme="minorEastAsia" w:hAnsiTheme="minorEastAsia"/>
          <w:b/>
          <w:color w:val="000000" w:themeColor="text1"/>
          <w:kern w:val="0"/>
          <w:sz w:val="22"/>
          <w:szCs w:val="28"/>
          <w14:textFill>
            <w14:solidFill>
              <w14:schemeClr w14:val="tx1"/>
            </w14:solidFill>
          </w14:textFill>
        </w:rPr>
        <w:t>备注：满分为100分。其中，基础分26分，加分项总分74分，若加分项超过74分，则根据最高分进行折合。</w:t>
      </w:r>
      <w:r>
        <w:rPr>
          <w:rFonts w:hint="eastAsia" w:asciiTheme="minorEastAsia" w:hAnsiTheme="minorEastAsia"/>
          <w:b/>
          <w:color w:val="000000" w:themeColor="text1"/>
          <w:kern w:val="0"/>
          <w:sz w:val="22"/>
          <w:szCs w:val="28"/>
          <w14:textFill>
            <w14:solidFill>
              <w14:schemeClr w14:val="tx1"/>
            </w14:solidFill>
          </w14:textFill>
        </w:rPr>
        <w:tab/>
      </w:r>
    </w:p>
    <w:p>
      <w:pPr>
        <w:spacing w:line="360" w:lineRule="auto"/>
        <w:rPr>
          <w:rFonts w:asciiTheme="minorEastAsia" w:hAnsiTheme="minorEastAsia"/>
          <w:sz w:val="24"/>
          <w:szCs w:val="24"/>
        </w:rPr>
        <w:sectPr>
          <w:pgSz w:w="16838" w:h="11906" w:orient="landscape"/>
          <w:pgMar w:top="1417" w:right="1417" w:bottom="1134" w:left="1134" w:header="851" w:footer="992" w:gutter="0"/>
          <w:pgNumType w:fmt="decimal"/>
          <w:cols w:space="0" w:num="1"/>
          <w:docGrid w:type="lines" w:linePitch="322" w:charSpace="0"/>
        </w:sectPr>
      </w:pPr>
      <w:r>
        <w:rPr>
          <w:rFonts w:asciiTheme="minorEastAsia" w:hAnsiTheme="minorEastAsia"/>
          <w:sz w:val="24"/>
          <w:szCs w:val="24"/>
        </w:rPr>
        <w:br w:type="page"/>
      </w:r>
    </w:p>
    <w:p>
      <w:pPr>
        <w:widowControl/>
        <w:spacing w:line="560" w:lineRule="exact"/>
        <w:jc w:val="center"/>
        <w:rPr>
          <w:rFonts w:ascii="宋体" w:hAnsi="宋体" w:eastAsia="宋体" w:cs="宋体"/>
          <w:b/>
          <w:bCs/>
          <w:spacing w:val="-6"/>
          <w:kern w:val="0"/>
          <w:szCs w:val="32"/>
        </w:rPr>
      </w:pPr>
      <w:r>
        <w:rPr>
          <w:rFonts w:hint="eastAsia" w:ascii="宋体" w:hAnsi="宋体" w:eastAsia="宋体" w:cs="宋体"/>
          <w:b/>
          <w:bCs/>
          <w:spacing w:val="-6"/>
          <w:kern w:val="0"/>
          <w:sz w:val="32"/>
          <w:szCs w:val="32"/>
        </w:rPr>
        <w:t>内江师范学院教学奖励办法（试行）</w:t>
      </w:r>
    </w:p>
    <w:p>
      <w:pPr>
        <w:widowControl/>
        <w:spacing w:line="560" w:lineRule="exact"/>
        <w:jc w:val="center"/>
        <w:rPr>
          <w:rFonts w:ascii="宋体" w:hAnsi="宋体" w:eastAsia="宋体" w:cs="宋体"/>
          <w:b/>
          <w:bCs/>
          <w:spacing w:val="-6"/>
          <w:kern w:val="0"/>
          <w:sz w:val="28"/>
          <w:szCs w:val="28"/>
        </w:rPr>
      </w:pPr>
      <w:r>
        <w:rPr>
          <w:rFonts w:hint="eastAsia" w:ascii="宋体" w:hAnsi="宋体" w:eastAsia="宋体" w:cs="宋体"/>
          <w:b/>
          <w:bCs/>
          <w:spacing w:val="-6"/>
          <w:kern w:val="0"/>
          <w:sz w:val="28"/>
          <w:szCs w:val="28"/>
        </w:rPr>
        <w:t>内师院发〔2014〕99号</w:t>
      </w:r>
    </w:p>
    <w:p>
      <w:pPr>
        <w:widowControl/>
        <w:spacing w:line="560" w:lineRule="exact"/>
        <w:jc w:val="center"/>
        <w:rPr>
          <w:rFonts w:ascii="宋体" w:hAnsi="宋体" w:eastAsia="宋体" w:cs="宋体"/>
          <w:bCs/>
          <w:spacing w:val="-6"/>
          <w:kern w:val="0"/>
          <w:sz w:val="28"/>
          <w:szCs w:val="28"/>
        </w:rPr>
      </w:pPr>
    </w:p>
    <w:p>
      <w:pPr>
        <w:widowControl/>
        <w:spacing w:line="540" w:lineRule="exact"/>
        <w:jc w:val="center"/>
        <w:rPr>
          <w:rFonts w:ascii="宋体" w:hAnsi="宋体" w:eastAsia="宋体" w:cs="宋体"/>
          <w:b/>
          <w:kern w:val="0"/>
          <w:sz w:val="24"/>
          <w:szCs w:val="24"/>
        </w:rPr>
      </w:pPr>
      <w:r>
        <w:rPr>
          <w:rFonts w:hint="eastAsia" w:ascii="宋体" w:hAnsi="宋体" w:eastAsia="宋体" w:cs="宋体"/>
          <w:b/>
          <w:bCs/>
          <w:spacing w:val="-6"/>
          <w:kern w:val="0"/>
          <w:sz w:val="24"/>
          <w:szCs w:val="24"/>
        </w:rPr>
        <w:t>第一章  总则</w:t>
      </w:r>
    </w:p>
    <w:p>
      <w:pPr>
        <w:widowControl/>
        <w:spacing w:line="480" w:lineRule="exact"/>
        <w:ind w:firstLine="458" w:firstLineChars="200"/>
        <w:rPr>
          <w:rFonts w:ascii="宋体" w:hAnsi="宋体" w:eastAsia="宋体" w:cs="宋体"/>
          <w:kern w:val="0"/>
          <w:sz w:val="24"/>
          <w:szCs w:val="24"/>
        </w:rPr>
      </w:pPr>
      <w:r>
        <w:rPr>
          <w:rFonts w:hint="eastAsia" w:ascii="宋体" w:hAnsi="宋体" w:eastAsia="宋体" w:cs="宋体"/>
          <w:b/>
          <w:bCs/>
          <w:spacing w:val="-6"/>
          <w:kern w:val="0"/>
          <w:sz w:val="24"/>
          <w:szCs w:val="24"/>
        </w:rPr>
        <w:t>第一条</w:t>
      </w:r>
      <w:r>
        <w:rPr>
          <w:rFonts w:hint="eastAsia" w:ascii="宋体" w:hAnsi="宋体" w:eastAsia="宋体" w:cs="宋体"/>
          <w:spacing w:val="-6"/>
          <w:kern w:val="0"/>
          <w:sz w:val="24"/>
          <w:szCs w:val="24"/>
        </w:rPr>
        <w:t xml:space="preserve">  为充分调动广大教师投身教学工作，参与各项教学改革的积极性，鼓励和表彰在各项教学工作中做出突出贡献的教师，建立教学奖励长效机制，特制订本办法。</w:t>
      </w:r>
    </w:p>
    <w:p>
      <w:pPr>
        <w:widowControl/>
        <w:spacing w:line="480" w:lineRule="exact"/>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 xml:space="preserve">第二条  </w:t>
      </w:r>
      <w:r>
        <w:rPr>
          <w:rFonts w:hint="eastAsia" w:ascii="宋体" w:hAnsi="宋体" w:eastAsia="宋体" w:cs="宋体"/>
          <w:spacing w:val="-6"/>
          <w:kern w:val="0"/>
          <w:sz w:val="24"/>
          <w:szCs w:val="24"/>
        </w:rPr>
        <w:t>教学奖励项目包括七类：教学成果奖、教学改革研究项目奖、教师教学奖、优秀指导教师奖、优秀教材奖、优秀教研论文奖、优秀教学管理奖。</w:t>
      </w:r>
    </w:p>
    <w:p>
      <w:pPr>
        <w:widowControl/>
        <w:spacing w:line="480" w:lineRule="exact"/>
        <w:jc w:val="center"/>
        <w:rPr>
          <w:rFonts w:ascii="宋体" w:hAnsi="宋体" w:eastAsia="宋体" w:cs="宋体"/>
          <w:b/>
          <w:bCs/>
          <w:spacing w:val="-6"/>
          <w:kern w:val="0"/>
          <w:sz w:val="24"/>
          <w:szCs w:val="24"/>
        </w:rPr>
      </w:pPr>
      <w:r>
        <w:rPr>
          <w:rFonts w:hint="eastAsia" w:ascii="宋体" w:hAnsi="宋体" w:eastAsia="宋体" w:cs="宋体"/>
          <w:b/>
          <w:bCs/>
          <w:spacing w:val="-6"/>
          <w:kern w:val="0"/>
          <w:sz w:val="24"/>
          <w:szCs w:val="24"/>
        </w:rPr>
        <w:t>第二章   奖励项目与标准</w:t>
      </w:r>
    </w:p>
    <w:p>
      <w:pPr>
        <w:widowControl/>
        <w:spacing w:line="480" w:lineRule="exact"/>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 xml:space="preserve">第三条  </w:t>
      </w:r>
      <w:r>
        <w:rPr>
          <w:rFonts w:hint="eastAsia" w:ascii="宋体" w:hAnsi="宋体" w:eastAsia="宋体" w:cs="宋体"/>
          <w:spacing w:val="-6"/>
          <w:kern w:val="0"/>
          <w:sz w:val="24"/>
          <w:szCs w:val="24"/>
        </w:rPr>
        <w:t>教学成果奖：对取得突出教学成果的组织或个人给予奖励。</w:t>
      </w:r>
    </w:p>
    <w:tbl>
      <w:tblPr>
        <w:tblStyle w:val="15"/>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2141"/>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8" w:type="dxa"/>
            <w:gridSpan w:val="2"/>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级  别</w:t>
            </w:r>
          </w:p>
        </w:tc>
        <w:tc>
          <w:tcPr>
            <w:tcW w:w="214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金额（万元/项）</w:t>
            </w:r>
          </w:p>
        </w:tc>
        <w:tc>
          <w:tcPr>
            <w:tcW w:w="3854" w:type="dxa"/>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8" w:type="dxa"/>
            <w:gridSpan w:val="2"/>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国家级</w:t>
            </w:r>
          </w:p>
        </w:tc>
        <w:tc>
          <w:tcPr>
            <w:tcW w:w="214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1：3配套</w:t>
            </w:r>
          </w:p>
        </w:tc>
        <w:tc>
          <w:tcPr>
            <w:tcW w:w="385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我校为第一完成单位者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8" w:type="dxa"/>
            <w:gridSpan w:val="2"/>
            <w:vMerge w:val="continue"/>
            <w:vAlign w:val="center"/>
          </w:tcPr>
          <w:p>
            <w:pPr>
              <w:widowControl/>
              <w:spacing w:line="480" w:lineRule="exact"/>
              <w:jc w:val="center"/>
              <w:rPr>
                <w:rFonts w:ascii="宋体" w:hAnsi="宋体" w:eastAsia="宋体" w:cs="宋体"/>
                <w:spacing w:val="-6"/>
                <w:kern w:val="0"/>
                <w:szCs w:val="21"/>
              </w:rPr>
            </w:pPr>
          </w:p>
        </w:tc>
        <w:tc>
          <w:tcPr>
            <w:tcW w:w="2141" w:type="dxa"/>
            <w:vAlign w:val="center"/>
          </w:tcPr>
          <w:p>
            <w:pPr>
              <w:widowControl/>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1：1配套</w:t>
            </w:r>
          </w:p>
        </w:tc>
        <w:tc>
          <w:tcPr>
            <w:tcW w:w="385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我校为第二完成单位者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8" w:type="dxa"/>
            <w:gridSpan w:val="2"/>
            <w:vMerge w:val="restart"/>
            <w:vAlign w:val="center"/>
          </w:tcPr>
          <w:p>
            <w:pPr>
              <w:spacing w:line="480" w:lineRule="exact"/>
              <w:jc w:val="center"/>
              <w:rPr>
                <w:rFonts w:ascii="宋体" w:hAnsi="宋体" w:eastAsia="宋体" w:cs="宋体"/>
                <w:kern w:val="0"/>
                <w:szCs w:val="21"/>
              </w:rPr>
            </w:pPr>
            <w:r>
              <w:rPr>
                <w:rFonts w:hint="eastAsia" w:ascii="宋体" w:hAnsi="宋体" w:eastAsia="宋体" w:cs="宋体"/>
                <w:spacing w:val="-6"/>
                <w:kern w:val="0"/>
                <w:szCs w:val="21"/>
              </w:rPr>
              <w:t>省  级</w:t>
            </w:r>
          </w:p>
        </w:tc>
        <w:tc>
          <w:tcPr>
            <w:tcW w:w="214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1：2配套</w:t>
            </w:r>
          </w:p>
        </w:tc>
        <w:tc>
          <w:tcPr>
            <w:tcW w:w="385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我校为第一完成单位者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8" w:type="dxa"/>
            <w:gridSpan w:val="2"/>
            <w:vMerge w:val="continue"/>
            <w:vAlign w:val="center"/>
          </w:tcPr>
          <w:p>
            <w:pPr>
              <w:spacing w:line="480" w:lineRule="exact"/>
              <w:jc w:val="center"/>
              <w:rPr>
                <w:rFonts w:ascii="宋体" w:hAnsi="宋体" w:eastAsia="宋体" w:cs="宋体"/>
                <w:spacing w:val="-6"/>
                <w:kern w:val="0"/>
                <w:szCs w:val="21"/>
              </w:rPr>
            </w:pPr>
          </w:p>
        </w:tc>
        <w:tc>
          <w:tcPr>
            <w:tcW w:w="2141" w:type="dxa"/>
            <w:vAlign w:val="center"/>
          </w:tcPr>
          <w:p>
            <w:pPr>
              <w:widowControl/>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1：1配套</w:t>
            </w:r>
          </w:p>
        </w:tc>
        <w:tc>
          <w:tcPr>
            <w:tcW w:w="385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我校为第二完成单位者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83"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校级</w:t>
            </w:r>
          </w:p>
        </w:tc>
        <w:tc>
          <w:tcPr>
            <w:tcW w:w="1735"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一等奖</w:t>
            </w:r>
          </w:p>
        </w:tc>
        <w:tc>
          <w:tcPr>
            <w:tcW w:w="2141" w:type="dxa"/>
            <w:vAlign w:val="center"/>
          </w:tcPr>
          <w:p>
            <w:pPr>
              <w:spacing w:line="480" w:lineRule="exact"/>
              <w:jc w:val="center"/>
              <w:rPr>
                <w:rFonts w:ascii="宋体" w:hAnsi="宋体" w:eastAsia="宋体" w:cs="宋体"/>
                <w:kern w:val="0"/>
                <w:szCs w:val="21"/>
              </w:rPr>
            </w:pPr>
            <w:r>
              <w:rPr>
                <w:rFonts w:hint="eastAsia" w:ascii="宋体" w:hAnsi="宋体" w:eastAsia="宋体" w:cs="宋体"/>
                <w:spacing w:val="-6"/>
                <w:kern w:val="0"/>
                <w:szCs w:val="21"/>
              </w:rPr>
              <w:t>1.0</w:t>
            </w:r>
          </w:p>
        </w:tc>
        <w:tc>
          <w:tcPr>
            <w:tcW w:w="3854" w:type="dxa"/>
          </w:tcPr>
          <w:p>
            <w:pPr>
              <w:widowControl/>
              <w:spacing w:line="4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3" w:type="dxa"/>
            <w:vMerge w:val="continue"/>
            <w:vAlign w:val="center"/>
          </w:tcPr>
          <w:p>
            <w:pPr>
              <w:widowControl/>
              <w:spacing w:line="480" w:lineRule="exact"/>
              <w:jc w:val="center"/>
              <w:rPr>
                <w:rFonts w:ascii="宋体" w:hAnsi="宋体" w:eastAsia="宋体" w:cs="宋体"/>
                <w:spacing w:val="-6"/>
                <w:kern w:val="0"/>
                <w:szCs w:val="21"/>
              </w:rPr>
            </w:pPr>
          </w:p>
        </w:tc>
        <w:tc>
          <w:tcPr>
            <w:tcW w:w="1735"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二等奖</w:t>
            </w:r>
          </w:p>
        </w:tc>
        <w:tc>
          <w:tcPr>
            <w:tcW w:w="2141" w:type="dxa"/>
            <w:vAlign w:val="center"/>
          </w:tcPr>
          <w:p>
            <w:pPr>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0.5</w:t>
            </w:r>
          </w:p>
        </w:tc>
        <w:tc>
          <w:tcPr>
            <w:tcW w:w="3854" w:type="dxa"/>
          </w:tcPr>
          <w:p>
            <w:pPr>
              <w:widowControl/>
              <w:spacing w:line="4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83" w:type="dxa"/>
            <w:vMerge w:val="continue"/>
            <w:vAlign w:val="center"/>
          </w:tcPr>
          <w:p>
            <w:pPr>
              <w:widowControl/>
              <w:spacing w:line="480" w:lineRule="exact"/>
              <w:jc w:val="center"/>
              <w:rPr>
                <w:rFonts w:ascii="宋体" w:hAnsi="宋体" w:eastAsia="宋体" w:cs="宋体"/>
                <w:spacing w:val="-6"/>
                <w:kern w:val="0"/>
                <w:szCs w:val="21"/>
              </w:rPr>
            </w:pPr>
          </w:p>
        </w:tc>
        <w:tc>
          <w:tcPr>
            <w:tcW w:w="1735"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三等奖</w:t>
            </w:r>
          </w:p>
        </w:tc>
        <w:tc>
          <w:tcPr>
            <w:tcW w:w="2141" w:type="dxa"/>
            <w:vAlign w:val="center"/>
          </w:tcPr>
          <w:p>
            <w:pPr>
              <w:widowControl/>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0.2</w:t>
            </w:r>
          </w:p>
        </w:tc>
        <w:tc>
          <w:tcPr>
            <w:tcW w:w="3854" w:type="dxa"/>
          </w:tcPr>
          <w:p>
            <w:pPr>
              <w:widowControl/>
              <w:spacing w:line="480" w:lineRule="exact"/>
              <w:rPr>
                <w:rFonts w:ascii="宋体" w:hAnsi="宋体" w:eastAsia="宋体" w:cs="宋体"/>
                <w:kern w:val="0"/>
                <w:szCs w:val="21"/>
              </w:rPr>
            </w:pPr>
          </w:p>
        </w:tc>
      </w:tr>
    </w:tbl>
    <w:p>
      <w:pPr>
        <w:widowControl/>
        <w:spacing w:line="480" w:lineRule="exact"/>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 xml:space="preserve">第四条  </w:t>
      </w:r>
      <w:r>
        <w:rPr>
          <w:rFonts w:hint="eastAsia" w:ascii="宋体" w:hAnsi="宋体" w:eastAsia="宋体" w:cs="宋体"/>
          <w:spacing w:val="-6"/>
          <w:kern w:val="0"/>
          <w:sz w:val="24"/>
          <w:szCs w:val="24"/>
        </w:rPr>
        <w:t>教学改革研究项目奖： 对获得省级及以上教学改革研究项目立项的项目组给予奖励。</w:t>
      </w:r>
    </w:p>
    <w:tbl>
      <w:tblPr>
        <w:tblStyle w:val="15"/>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463"/>
        <w:gridCol w:w="208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类别</w:t>
            </w:r>
          </w:p>
        </w:tc>
        <w:tc>
          <w:tcPr>
            <w:tcW w:w="1463" w:type="dxa"/>
            <w:vAlign w:val="center"/>
          </w:tcPr>
          <w:p>
            <w:pPr>
              <w:spacing w:line="480" w:lineRule="exact"/>
              <w:jc w:val="center"/>
              <w:rPr>
                <w:rFonts w:ascii="宋体" w:hAnsi="宋体" w:eastAsia="宋体" w:cs="宋体"/>
                <w:kern w:val="0"/>
                <w:szCs w:val="21"/>
              </w:rPr>
            </w:pPr>
            <w:r>
              <w:rPr>
                <w:rFonts w:hint="eastAsia" w:ascii="宋体" w:hAnsi="宋体" w:eastAsia="宋体" w:cs="宋体"/>
                <w:kern w:val="0"/>
                <w:szCs w:val="21"/>
              </w:rPr>
              <w:t>级  别</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金额（万元/项）</w:t>
            </w:r>
          </w:p>
        </w:tc>
        <w:tc>
          <w:tcPr>
            <w:tcW w:w="3309"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88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专业综合改革（试点）</w:t>
            </w: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国家级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5.0</w:t>
            </w:r>
          </w:p>
        </w:tc>
        <w:tc>
          <w:tcPr>
            <w:tcW w:w="3309"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含卓越人才教育培养计划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888" w:type="dxa"/>
            <w:vMerge w:val="continue"/>
            <w:vAlign w:val="center"/>
          </w:tcPr>
          <w:p>
            <w:pPr>
              <w:widowControl/>
              <w:spacing w:line="480" w:lineRule="exact"/>
              <w:jc w:val="center"/>
              <w:rPr>
                <w:rFonts w:ascii="宋体" w:hAnsi="宋体" w:eastAsia="宋体" w:cs="宋体"/>
                <w:kern w:val="0"/>
                <w:szCs w:val="21"/>
              </w:rPr>
            </w:pP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省  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3309" w:type="dxa"/>
            <w:vMerge w:val="continue"/>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88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实践教学</w:t>
            </w:r>
          </w:p>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综合改革</w:t>
            </w: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国家级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5.0</w:t>
            </w:r>
          </w:p>
        </w:tc>
        <w:tc>
          <w:tcPr>
            <w:tcW w:w="3309"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含实验教学示范中心、大学生校外实践教学基地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Merge w:val="continue"/>
            <w:vAlign w:val="center"/>
          </w:tcPr>
          <w:p>
            <w:pPr>
              <w:widowControl/>
              <w:spacing w:line="480" w:lineRule="exact"/>
              <w:jc w:val="center"/>
              <w:rPr>
                <w:rFonts w:ascii="宋体" w:hAnsi="宋体" w:eastAsia="宋体" w:cs="宋体"/>
                <w:kern w:val="0"/>
                <w:szCs w:val="21"/>
              </w:rPr>
            </w:pP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省  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3309" w:type="dxa"/>
            <w:vMerge w:val="continue"/>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教学团队</w:t>
            </w: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国家级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5.0</w:t>
            </w:r>
          </w:p>
        </w:tc>
        <w:tc>
          <w:tcPr>
            <w:tcW w:w="3309" w:type="dxa"/>
            <w:vMerge w:val="restart"/>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Merge w:val="continue"/>
            <w:vAlign w:val="center"/>
          </w:tcPr>
          <w:p>
            <w:pPr>
              <w:widowControl/>
              <w:spacing w:line="480" w:lineRule="exact"/>
              <w:jc w:val="center"/>
              <w:rPr>
                <w:rFonts w:ascii="宋体" w:hAnsi="宋体" w:eastAsia="宋体" w:cs="宋体"/>
                <w:kern w:val="0"/>
                <w:szCs w:val="21"/>
              </w:rPr>
            </w:pP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省  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3309" w:type="dxa"/>
            <w:vMerge w:val="continue"/>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精品开</w:t>
            </w:r>
          </w:p>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放课程</w:t>
            </w: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国家级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5.0</w:t>
            </w:r>
          </w:p>
        </w:tc>
        <w:tc>
          <w:tcPr>
            <w:tcW w:w="3309"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含精品资源共享课、</w:t>
            </w:r>
          </w:p>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精品视频公开课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8" w:type="dxa"/>
            <w:vMerge w:val="continue"/>
            <w:vAlign w:val="center"/>
          </w:tcPr>
          <w:p>
            <w:pPr>
              <w:widowControl/>
              <w:spacing w:line="480" w:lineRule="exact"/>
              <w:jc w:val="center"/>
              <w:rPr>
                <w:rFonts w:ascii="宋体" w:hAnsi="宋体" w:eastAsia="宋体" w:cs="宋体"/>
                <w:kern w:val="0"/>
                <w:szCs w:val="21"/>
              </w:rPr>
            </w:pP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省  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3309" w:type="dxa"/>
            <w:vMerge w:val="continue"/>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jc w:val="center"/>
        </w:trPr>
        <w:tc>
          <w:tcPr>
            <w:tcW w:w="188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教改项目</w:t>
            </w:r>
          </w:p>
        </w:tc>
        <w:tc>
          <w:tcPr>
            <w:tcW w:w="1463" w:type="dxa"/>
            <w:vAlign w:val="center"/>
          </w:tcPr>
          <w:p>
            <w:pPr>
              <w:spacing w:line="480" w:lineRule="exact"/>
              <w:jc w:val="center"/>
              <w:rPr>
                <w:rFonts w:ascii="宋体" w:hAnsi="宋体" w:eastAsia="宋体" w:cs="宋体"/>
                <w:kern w:val="0"/>
                <w:szCs w:val="21"/>
              </w:rPr>
            </w:pPr>
            <w:r>
              <w:rPr>
                <w:rFonts w:hint="eastAsia" w:ascii="宋体" w:hAnsi="宋体" w:eastAsia="宋体" w:cs="宋体"/>
                <w:kern w:val="0"/>
                <w:szCs w:val="21"/>
              </w:rPr>
              <w:t>国家级</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5.0</w:t>
            </w:r>
          </w:p>
        </w:tc>
        <w:tc>
          <w:tcPr>
            <w:tcW w:w="3309" w:type="dxa"/>
            <w:vMerge w:val="restart"/>
            <w:vAlign w:val="center"/>
          </w:tcPr>
          <w:p>
            <w:pPr>
              <w:widowControl/>
              <w:spacing w:line="4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1888" w:type="dxa"/>
            <w:vMerge w:val="continue"/>
            <w:vAlign w:val="center"/>
          </w:tcPr>
          <w:p>
            <w:pPr>
              <w:widowControl/>
              <w:spacing w:line="480" w:lineRule="exact"/>
              <w:jc w:val="center"/>
              <w:rPr>
                <w:rFonts w:ascii="宋体" w:hAnsi="宋体" w:eastAsia="宋体" w:cs="宋体"/>
                <w:kern w:val="0"/>
                <w:sz w:val="24"/>
                <w:szCs w:val="24"/>
              </w:rPr>
            </w:pPr>
          </w:p>
        </w:tc>
        <w:tc>
          <w:tcPr>
            <w:tcW w:w="146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省级重点</w:t>
            </w:r>
          </w:p>
        </w:tc>
        <w:tc>
          <w:tcPr>
            <w:tcW w:w="208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0.5</w:t>
            </w:r>
          </w:p>
        </w:tc>
        <w:tc>
          <w:tcPr>
            <w:tcW w:w="3309" w:type="dxa"/>
            <w:vMerge w:val="continue"/>
            <w:vAlign w:val="center"/>
          </w:tcPr>
          <w:p>
            <w:pPr>
              <w:widowControl/>
              <w:spacing w:line="480" w:lineRule="exact"/>
              <w:jc w:val="center"/>
              <w:rPr>
                <w:rFonts w:ascii="宋体" w:hAnsi="宋体" w:eastAsia="宋体" w:cs="宋体"/>
                <w:spacing w:val="-6"/>
                <w:kern w:val="0"/>
                <w:sz w:val="24"/>
                <w:szCs w:val="24"/>
              </w:rPr>
            </w:pPr>
          </w:p>
        </w:tc>
      </w:tr>
    </w:tbl>
    <w:p>
      <w:pPr>
        <w:widowControl/>
        <w:ind w:firstLine="458" w:firstLineChars="200"/>
        <w:rPr>
          <w:rFonts w:ascii="宋体" w:hAnsi="宋体" w:eastAsia="宋体" w:cs="宋体"/>
          <w:b/>
          <w:bCs/>
          <w:spacing w:val="-6"/>
          <w:kern w:val="0"/>
          <w:sz w:val="24"/>
          <w:szCs w:val="24"/>
        </w:rPr>
      </w:pPr>
    </w:p>
    <w:p>
      <w:pPr>
        <w:widowControl/>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第五条</w:t>
      </w:r>
      <w:r>
        <w:rPr>
          <w:rFonts w:hint="eastAsia" w:ascii="宋体" w:hAnsi="宋体" w:eastAsia="宋体" w:cs="宋体"/>
          <w:spacing w:val="-6"/>
          <w:kern w:val="0"/>
          <w:sz w:val="24"/>
          <w:szCs w:val="24"/>
        </w:rPr>
        <w:t xml:space="preserve">  教师教学奖：对热爱教育事业、教书育人业绩突出的优秀教师个人给予奖励。</w:t>
      </w:r>
    </w:p>
    <w:p>
      <w:pPr>
        <w:widowControl/>
        <w:ind w:firstLine="456" w:firstLineChars="200"/>
        <w:rPr>
          <w:rFonts w:hint="eastAsia" w:ascii="宋体" w:hAnsi="宋体" w:eastAsia="宋体" w:cs="宋体"/>
          <w:spacing w:val="-6"/>
          <w:kern w:val="0"/>
          <w:sz w:val="24"/>
          <w:szCs w:val="24"/>
        </w:rPr>
      </w:pPr>
    </w:p>
    <w:tbl>
      <w:tblPr>
        <w:tblStyle w:val="15"/>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76"/>
        <w:gridCol w:w="1417"/>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trPr>
        <w:tc>
          <w:tcPr>
            <w:tcW w:w="15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  别</w:t>
            </w:r>
          </w:p>
        </w:tc>
        <w:tc>
          <w:tcPr>
            <w:tcW w:w="2693" w:type="dxa"/>
            <w:gridSpan w:val="2"/>
            <w:vAlign w:val="center"/>
          </w:tcPr>
          <w:p>
            <w:pPr>
              <w:widowControl/>
              <w:jc w:val="center"/>
              <w:rPr>
                <w:rFonts w:ascii="宋体" w:hAnsi="宋体" w:eastAsia="宋体" w:cs="宋体"/>
                <w:kern w:val="0"/>
                <w:szCs w:val="21"/>
              </w:rPr>
            </w:pPr>
            <w:r>
              <w:rPr>
                <w:rFonts w:hint="eastAsia" w:ascii="宋体" w:hAnsi="宋体" w:eastAsia="宋体" w:cs="宋体"/>
                <w:kern w:val="0"/>
                <w:szCs w:val="21"/>
              </w:rPr>
              <w:t>级  别</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金额（万元/项）</w:t>
            </w:r>
          </w:p>
        </w:tc>
        <w:tc>
          <w:tcPr>
            <w:tcW w:w="269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1559" w:type="dxa"/>
            <w:vMerge w:val="restart"/>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教学名师</w:t>
            </w:r>
          </w:p>
        </w:tc>
        <w:tc>
          <w:tcPr>
            <w:tcW w:w="2693" w:type="dxa"/>
            <w:gridSpan w:val="2"/>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10.0</w:t>
            </w:r>
          </w:p>
        </w:tc>
        <w:tc>
          <w:tcPr>
            <w:tcW w:w="2693"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trPr>
        <w:tc>
          <w:tcPr>
            <w:tcW w:w="1559" w:type="dxa"/>
            <w:vMerge w:val="continue"/>
            <w:vAlign w:val="center"/>
          </w:tcPr>
          <w:p>
            <w:pPr>
              <w:widowControl/>
              <w:jc w:val="center"/>
              <w:rPr>
                <w:rFonts w:ascii="宋体" w:hAnsi="宋体" w:eastAsia="宋体" w:cs="宋体"/>
                <w:spacing w:val="-6"/>
                <w:kern w:val="0"/>
                <w:szCs w:val="21"/>
              </w:rPr>
            </w:pPr>
          </w:p>
        </w:tc>
        <w:tc>
          <w:tcPr>
            <w:tcW w:w="2693"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省  级</w:t>
            </w:r>
          </w:p>
        </w:tc>
        <w:tc>
          <w:tcPr>
            <w:tcW w:w="184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2.0</w:t>
            </w:r>
          </w:p>
        </w:tc>
        <w:tc>
          <w:tcPr>
            <w:tcW w:w="2693"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559" w:type="dxa"/>
            <w:vMerge w:val="continue"/>
            <w:vAlign w:val="center"/>
          </w:tcPr>
          <w:p>
            <w:pPr>
              <w:widowControl/>
              <w:jc w:val="center"/>
              <w:rPr>
                <w:rFonts w:ascii="宋体" w:hAnsi="宋体" w:eastAsia="宋体" w:cs="宋体"/>
                <w:spacing w:val="-6"/>
                <w:kern w:val="0"/>
                <w:szCs w:val="21"/>
              </w:rPr>
            </w:pPr>
          </w:p>
        </w:tc>
        <w:tc>
          <w:tcPr>
            <w:tcW w:w="2693"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校  级</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0.8</w:t>
            </w:r>
          </w:p>
        </w:tc>
        <w:tc>
          <w:tcPr>
            <w:tcW w:w="2693" w:type="dxa"/>
            <w:vAlign w:val="center"/>
          </w:tcPr>
          <w:p>
            <w:pPr>
              <w:widowControl/>
              <w:rPr>
                <w:rFonts w:ascii="宋体" w:hAnsi="宋体" w:eastAsia="宋体" w:cs="宋体"/>
                <w:spacing w:val="-6"/>
                <w:kern w:val="0"/>
                <w:szCs w:val="21"/>
              </w:rPr>
            </w:pPr>
            <w:r>
              <w:rPr>
                <w:rFonts w:hint="eastAsia" w:ascii="宋体" w:hAnsi="宋体" w:eastAsia="宋体" w:cs="宋体"/>
                <w:kern w:val="0"/>
                <w:szCs w:val="21"/>
              </w:rPr>
              <w:t>每2年评选1次，每次不超过5名。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trPr>
        <w:tc>
          <w:tcPr>
            <w:tcW w:w="1559"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教学能手</w:t>
            </w:r>
          </w:p>
        </w:tc>
        <w:tc>
          <w:tcPr>
            <w:tcW w:w="2693"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校  级</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0.5</w:t>
            </w:r>
          </w:p>
        </w:tc>
        <w:tc>
          <w:tcPr>
            <w:tcW w:w="2693" w:type="dxa"/>
            <w:vAlign w:val="center"/>
          </w:tcPr>
          <w:p>
            <w:pPr>
              <w:rPr>
                <w:rFonts w:ascii="宋体" w:hAnsi="宋体" w:eastAsia="宋体" w:cs="宋体"/>
                <w:spacing w:val="-6"/>
                <w:kern w:val="0"/>
                <w:szCs w:val="21"/>
              </w:rPr>
            </w:pPr>
            <w:r>
              <w:rPr>
                <w:rFonts w:hint="eastAsia" w:ascii="宋体" w:hAnsi="宋体" w:eastAsia="宋体" w:cs="宋体"/>
                <w:kern w:val="0"/>
                <w:szCs w:val="21"/>
              </w:rPr>
              <w:t>每2年评选1次，每次不超过10名。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59" w:type="dxa"/>
            <w:vMerge w:val="restart"/>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教师教学比赛</w:t>
            </w:r>
          </w:p>
        </w:tc>
        <w:tc>
          <w:tcPr>
            <w:tcW w:w="1276" w:type="dxa"/>
            <w:vMerge w:val="restart"/>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国家级</w:t>
            </w: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一等奖</w:t>
            </w:r>
          </w:p>
        </w:tc>
        <w:tc>
          <w:tcPr>
            <w:tcW w:w="1843" w:type="dxa"/>
            <w:vAlign w:val="center"/>
          </w:tcPr>
          <w:p>
            <w:pPr>
              <w:jc w:val="center"/>
              <w:rPr>
                <w:rFonts w:ascii="宋体" w:hAnsi="宋体" w:eastAsia="宋体" w:cs="宋体"/>
                <w:kern w:val="0"/>
                <w:szCs w:val="21"/>
              </w:rPr>
            </w:pPr>
            <w:r>
              <w:rPr>
                <w:rFonts w:hint="eastAsia" w:ascii="宋体" w:hAnsi="宋体" w:eastAsia="宋体" w:cs="宋体"/>
                <w:spacing w:val="-6"/>
                <w:kern w:val="0"/>
                <w:szCs w:val="21"/>
              </w:rPr>
              <w:t>1.0</w:t>
            </w:r>
          </w:p>
        </w:tc>
        <w:tc>
          <w:tcPr>
            <w:tcW w:w="2693" w:type="dxa"/>
            <w:vMerge w:val="restart"/>
            <w:vAlign w:val="center"/>
          </w:tcPr>
          <w:p>
            <w:pPr>
              <w:widowControl/>
              <w:rPr>
                <w:rFonts w:ascii="宋体" w:hAnsi="宋体" w:eastAsia="宋体" w:cs="宋体"/>
                <w:kern w:val="0"/>
                <w:szCs w:val="21"/>
              </w:rPr>
            </w:pPr>
            <w:r>
              <w:rPr>
                <w:rFonts w:hint="eastAsia" w:ascii="宋体" w:hAnsi="宋体" w:eastAsia="宋体" w:cs="宋体"/>
                <w:kern w:val="0"/>
                <w:szCs w:val="21"/>
              </w:rPr>
              <w:t>仅奖励由教育行政主管部门或政府组织的教学比赛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1559" w:type="dxa"/>
            <w:vMerge w:val="continue"/>
            <w:vAlign w:val="center"/>
          </w:tcPr>
          <w:p>
            <w:pPr>
              <w:widowControl/>
              <w:jc w:val="center"/>
              <w:rPr>
                <w:rFonts w:ascii="宋体" w:hAnsi="宋体" w:eastAsia="宋体" w:cs="宋体"/>
                <w:spacing w:val="-6"/>
                <w:kern w:val="0"/>
                <w:szCs w:val="21"/>
              </w:rPr>
            </w:pPr>
          </w:p>
        </w:tc>
        <w:tc>
          <w:tcPr>
            <w:tcW w:w="1276" w:type="dxa"/>
            <w:vMerge w:val="continue"/>
            <w:vAlign w:val="center"/>
          </w:tcPr>
          <w:p>
            <w:pPr>
              <w:widowControl/>
              <w:jc w:val="center"/>
              <w:rPr>
                <w:rFonts w:ascii="宋体" w:hAnsi="宋体" w:eastAsia="宋体" w:cs="宋体"/>
                <w:spacing w:val="-6"/>
                <w:kern w:val="0"/>
                <w:szCs w:val="21"/>
              </w:rPr>
            </w:pPr>
          </w:p>
        </w:tc>
        <w:tc>
          <w:tcPr>
            <w:tcW w:w="1417"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二等奖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0.8</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1559" w:type="dxa"/>
            <w:vMerge w:val="continue"/>
            <w:vAlign w:val="center"/>
          </w:tcPr>
          <w:p>
            <w:pPr>
              <w:widowControl/>
              <w:jc w:val="center"/>
              <w:rPr>
                <w:rFonts w:ascii="宋体" w:hAnsi="宋体" w:eastAsia="宋体" w:cs="宋体"/>
                <w:spacing w:val="-6"/>
                <w:kern w:val="0"/>
                <w:szCs w:val="21"/>
              </w:rPr>
            </w:pPr>
          </w:p>
        </w:tc>
        <w:tc>
          <w:tcPr>
            <w:tcW w:w="1276" w:type="dxa"/>
            <w:vMerge w:val="continue"/>
            <w:vAlign w:val="center"/>
          </w:tcPr>
          <w:p>
            <w:pPr>
              <w:widowControl/>
              <w:jc w:val="center"/>
              <w:rPr>
                <w:rFonts w:ascii="宋体" w:hAnsi="宋体" w:eastAsia="宋体" w:cs="宋体"/>
                <w:spacing w:val="-6"/>
                <w:kern w:val="0"/>
                <w:szCs w:val="21"/>
              </w:rPr>
            </w:pPr>
          </w:p>
        </w:tc>
        <w:tc>
          <w:tcPr>
            <w:tcW w:w="1417"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三等奖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0.4</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1559" w:type="dxa"/>
            <w:vMerge w:val="continue"/>
            <w:vAlign w:val="center"/>
          </w:tcPr>
          <w:p>
            <w:pPr>
              <w:widowControl/>
              <w:jc w:val="center"/>
              <w:rPr>
                <w:rFonts w:ascii="宋体" w:hAnsi="宋体" w:eastAsia="宋体" w:cs="宋体"/>
                <w:spacing w:val="-6"/>
                <w:kern w:val="0"/>
                <w:szCs w:val="21"/>
              </w:rPr>
            </w:pPr>
          </w:p>
        </w:tc>
        <w:tc>
          <w:tcPr>
            <w:tcW w:w="1276" w:type="dxa"/>
            <w:vMerge w:val="restart"/>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省  级</w:t>
            </w: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一等奖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0.8</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559" w:type="dxa"/>
            <w:vMerge w:val="continue"/>
            <w:vAlign w:val="center"/>
          </w:tcPr>
          <w:p>
            <w:pPr>
              <w:widowControl/>
              <w:jc w:val="center"/>
              <w:rPr>
                <w:rFonts w:ascii="宋体" w:hAnsi="宋体" w:eastAsia="宋体" w:cs="宋体"/>
                <w:spacing w:val="-6"/>
                <w:kern w:val="0"/>
                <w:szCs w:val="21"/>
              </w:rPr>
            </w:pPr>
          </w:p>
        </w:tc>
        <w:tc>
          <w:tcPr>
            <w:tcW w:w="1276" w:type="dxa"/>
            <w:vMerge w:val="continue"/>
            <w:vAlign w:val="center"/>
          </w:tcPr>
          <w:p>
            <w:pPr>
              <w:jc w:val="center"/>
              <w:rPr>
                <w:rFonts w:ascii="宋体" w:hAnsi="宋体" w:eastAsia="宋体" w:cs="宋体"/>
                <w:spacing w:val="-6"/>
                <w:kern w:val="0"/>
                <w:szCs w:val="21"/>
              </w:rPr>
            </w:pPr>
          </w:p>
        </w:tc>
        <w:tc>
          <w:tcPr>
            <w:tcW w:w="1417"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二等奖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0.6</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559" w:type="dxa"/>
            <w:vMerge w:val="continue"/>
            <w:vAlign w:val="center"/>
          </w:tcPr>
          <w:p>
            <w:pPr>
              <w:widowControl/>
              <w:jc w:val="center"/>
              <w:rPr>
                <w:rFonts w:ascii="宋体" w:hAnsi="宋体" w:eastAsia="宋体" w:cs="宋体"/>
                <w:spacing w:val="-6"/>
                <w:kern w:val="0"/>
                <w:szCs w:val="21"/>
              </w:rPr>
            </w:pPr>
          </w:p>
        </w:tc>
        <w:tc>
          <w:tcPr>
            <w:tcW w:w="1276" w:type="dxa"/>
            <w:vMerge w:val="continue"/>
            <w:vAlign w:val="center"/>
          </w:tcPr>
          <w:p>
            <w:pPr>
              <w:widowControl/>
              <w:jc w:val="center"/>
              <w:rPr>
                <w:rFonts w:ascii="宋体" w:hAnsi="宋体" w:eastAsia="宋体" w:cs="宋体"/>
                <w:spacing w:val="-6"/>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三等奖</w:t>
            </w:r>
          </w:p>
        </w:tc>
        <w:tc>
          <w:tcPr>
            <w:tcW w:w="184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0.2</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1559" w:type="dxa"/>
            <w:vMerge w:val="continue"/>
            <w:vAlign w:val="center"/>
          </w:tcPr>
          <w:p>
            <w:pPr>
              <w:jc w:val="center"/>
              <w:rPr>
                <w:rFonts w:ascii="宋体" w:hAnsi="宋体" w:eastAsia="宋体" w:cs="宋体"/>
                <w:kern w:val="0"/>
                <w:szCs w:val="21"/>
              </w:rPr>
            </w:pPr>
          </w:p>
        </w:tc>
        <w:tc>
          <w:tcPr>
            <w:tcW w:w="1276"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校  级</w:t>
            </w:r>
          </w:p>
        </w:tc>
        <w:tc>
          <w:tcPr>
            <w:tcW w:w="1417" w:type="dxa"/>
            <w:vAlign w:val="center"/>
          </w:tcPr>
          <w:p>
            <w:pPr>
              <w:jc w:val="center"/>
              <w:rPr>
                <w:rFonts w:ascii="宋体" w:hAnsi="宋体" w:eastAsia="宋体" w:cs="宋体"/>
                <w:kern w:val="0"/>
                <w:szCs w:val="21"/>
              </w:rPr>
            </w:pPr>
            <w:r>
              <w:rPr>
                <w:rFonts w:hint="eastAsia" w:ascii="宋体" w:hAnsi="宋体" w:eastAsia="宋体" w:cs="宋体"/>
                <w:spacing w:val="-6"/>
                <w:kern w:val="0"/>
                <w:szCs w:val="21"/>
              </w:rPr>
              <w:t>一等奖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2693"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59" w:type="dxa"/>
            <w:vMerge w:val="continue"/>
            <w:vAlign w:val="center"/>
          </w:tcPr>
          <w:p>
            <w:pPr>
              <w:jc w:val="center"/>
              <w:rPr>
                <w:rFonts w:ascii="宋体" w:hAnsi="宋体" w:eastAsia="宋体" w:cs="宋体"/>
                <w:spacing w:val="-6"/>
                <w:kern w:val="0"/>
                <w:szCs w:val="21"/>
              </w:rPr>
            </w:pPr>
          </w:p>
        </w:tc>
        <w:tc>
          <w:tcPr>
            <w:tcW w:w="1276" w:type="dxa"/>
            <w:vMerge w:val="continue"/>
            <w:vAlign w:val="center"/>
          </w:tcPr>
          <w:p>
            <w:pPr>
              <w:jc w:val="center"/>
              <w:rPr>
                <w:rFonts w:ascii="宋体" w:hAnsi="宋体" w:eastAsia="宋体" w:cs="宋体"/>
                <w:spacing w:val="-6"/>
                <w:kern w:val="0"/>
                <w:szCs w:val="21"/>
              </w:rPr>
            </w:pPr>
          </w:p>
        </w:tc>
        <w:tc>
          <w:tcPr>
            <w:tcW w:w="1417"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二等奖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1559" w:type="dxa"/>
            <w:vMerge w:val="continue"/>
            <w:vAlign w:val="center"/>
          </w:tcPr>
          <w:p>
            <w:pPr>
              <w:jc w:val="center"/>
              <w:rPr>
                <w:rFonts w:ascii="宋体" w:hAnsi="宋体" w:eastAsia="宋体" w:cs="宋体"/>
                <w:spacing w:val="-6"/>
                <w:kern w:val="0"/>
                <w:szCs w:val="21"/>
              </w:rPr>
            </w:pPr>
          </w:p>
        </w:tc>
        <w:tc>
          <w:tcPr>
            <w:tcW w:w="1276" w:type="dxa"/>
            <w:vMerge w:val="continue"/>
            <w:vAlign w:val="center"/>
          </w:tcPr>
          <w:p>
            <w:pPr>
              <w:jc w:val="center"/>
              <w:rPr>
                <w:rFonts w:ascii="宋体" w:hAnsi="宋体" w:eastAsia="宋体" w:cs="宋体"/>
                <w:spacing w:val="-6"/>
                <w:kern w:val="0"/>
                <w:szCs w:val="21"/>
              </w:rPr>
            </w:pPr>
          </w:p>
        </w:tc>
        <w:tc>
          <w:tcPr>
            <w:tcW w:w="1417"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三等奖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559" w:type="dxa"/>
            <w:vMerge w:val="restart"/>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教学优秀奖</w:t>
            </w:r>
          </w:p>
        </w:tc>
        <w:tc>
          <w:tcPr>
            <w:tcW w:w="2693" w:type="dxa"/>
            <w:gridSpan w:val="2"/>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一等奖（3名）</w:t>
            </w:r>
          </w:p>
        </w:tc>
        <w:tc>
          <w:tcPr>
            <w:tcW w:w="184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0.5</w:t>
            </w:r>
          </w:p>
        </w:tc>
        <w:tc>
          <w:tcPr>
            <w:tcW w:w="2693" w:type="dxa"/>
            <w:vMerge w:val="restart"/>
            <w:vAlign w:val="center"/>
          </w:tcPr>
          <w:p>
            <w:pPr>
              <w:widowControl/>
              <w:rPr>
                <w:rFonts w:ascii="宋体" w:hAnsi="宋体" w:eastAsia="宋体" w:cs="宋体"/>
                <w:kern w:val="0"/>
                <w:szCs w:val="21"/>
              </w:rPr>
            </w:pPr>
            <w:r>
              <w:rPr>
                <w:rFonts w:hint="eastAsia" w:ascii="宋体" w:hAnsi="宋体" w:eastAsia="宋体" w:cs="宋体"/>
                <w:kern w:val="0"/>
                <w:szCs w:val="21"/>
              </w:rPr>
              <w:t>每年评选1次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59" w:type="dxa"/>
            <w:vMerge w:val="continue"/>
            <w:vAlign w:val="center"/>
          </w:tcPr>
          <w:p>
            <w:pPr>
              <w:widowControl/>
              <w:jc w:val="center"/>
              <w:rPr>
                <w:rFonts w:ascii="宋体" w:hAnsi="宋体" w:eastAsia="宋体" w:cs="宋体"/>
                <w:spacing w:val="-6"/>
                <w:kern w:val="0"/>
                <w:sz w:val="24"/>
                <w:szCs w:val="24"/>
              </w:rPr>
            </w:pPr>
          </w:p>
        </w:tc>
        <w:tc>
          <w:tcPr>
            <w:tcW w:w="2693"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二等奖（7名）</w:t>
            </w:r>
          </w:p>
        </w:tc>
        <w:tc>
          <w:tcPr>
            <w:tcW w:w="184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0.3</w:t>
            </w:r>
          </w:p>
        </w:tc>
        <w:tc>
          <w:tcPr>
            <w:tcW w:w="2693" w:type="dxa"/>
            <w:vMerge w:val="continue"/>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59" w:type="dxa"/>
            <w:vMerge w:val="continue"/>
            <w:vAlign w:val="center"/>
          </w:tcPr>
          <w:p>
            <w:pPr>
              <w:widowControl/>
              <w:jc w:val="center"/>
              <w:rPr>
                <w:rFonts w:ascii="宋体" w:hAnsi="宋体" w:eastAsia="宋体" w:cs="宋体"/>
                <w:spacing w:val="-6"/>
                <w:kern w:val="0"/>
                <w:sz w:val="24"/>
                <w:szCs w:val="24"/>
              </w:rPr>
            </w:pPr>
          </w:p>
        </w:tc>
        <w:tc>
          <w:tcPr>
            <w:tcW w:w="2693"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三等奖（10名）</w:t>
            </w:r>
          </w:p>
        </w:tc>
        <w:tc>
          <w:tcPr>
            <w:tcW w:w="184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0.2</w:t>
            </w:r>
          </w:p>
        </w:tc>
        <w:tc>
          <w:tcPr>
            <w:tcW w:w="2693" w:type="dxa"/>
            <w:vMerge w:val="continue"/>
            <w:vAlign w:val="center"/>
          </w:tcPr>
          <w:p>
            <w:pPr>
              <w:widowControl/>
              <w:jc w:val="center"/>
              <w:rPr>
                <w:rFonts w:ascii="宋体" w:hAnsi="宋体" w:eastAsia="宋体" w:cs="宋体"/>
                <w:kern w:val="0"/>
                <w:sz w:val="24"/>
                <w:szCs w:val="24"/>
              </w:rPr>
            </w:pPr>
          </w:p>
        </w:tc>
      </w:tr>
    </w:tbl>
    <w:p>
      <w:pPr>
        <w:widowControl/>
        <w:ind w:firstLine="458" w:firstLineChars="200"/>
        <w:rPr>
          <w:rFonts w:ascii="宋体" w:hAnsi="宋体" w:eastAsia="宋体" w:cs="宋体"/>
          <w:b/>
          <w:bCs/>
          <w:spacing w:val="-6"/>
          <w:kern w:val="0"/>
          <w:sz w:val="24"/>
          <w:szCs w:val="24"/>
        </w:rPr>
      </w:pPr>
    </w:p>
    <w:p>
      <w:pPr>
        <w:widowControl/>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第六条</w:t>
      </w:r>
      <w:r>
        <w:rPr>
          <w:rFonts w:hint="eastAsia" w:ascii="宋体" w:hAnsi="宋体" w:eastAsia="宋体" w:cs="宋体"/>
          <w:spacing w:val="-6"/>
          <w:kern w:val="0"/>
          <w:sz w:val="24"/>
          <w:szCs w:val="24"/>
        </w:rPr>
        <w:t xml:space="preserve">  优秀指导教师奖：对认真做好各项指导工作的教师给予奖励。</w:t>
      </w:r>
    </w:p>
    <w:p>
      <w:pPr>
        <w:widowControl/>
        <w:ind w:firstLine="456" w:firstLineChars="200"/>
        <w:rPr>
          <w:rFonts w:hint="eastAsia" w:ascii="宋体" w:hAnsi="宋体" w:eastAsia="宋体" w:cs="宋体"/>
          <w:spacing w:val="-6"/>
          <w:kern w:val="0"/>
          <w:sz w:val="24"/>
          <w:szCs w:val="24"/>
        </w:rPr>
      </w:pPr>
    </w:p>
    <w:tbl>
      <w:tblPr>
        <w:tblStyle w:val="15"/>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1417"/>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 别</w:t>
            </w:r>
          </w:p>
        </w:tc>
        <w:tc>
          <w:tcPr>
            <w:tcW w:w="2976" w:type="dxa"/>
            <w:gridSpan w:val="2"/>
            <w:vAlign w:val="center"/>
          </w:tcPr>
          <w:p>
            <w:pPr>
              <w:widowControl/>
              <w:jc w:val="center"/>
              <w:rPr>
                <w:rFonts w:ascii="宋体" w:hAnsi="宋体" w:eastAsia="宋体" w:cs="宋体"/>
                <w:kern w:val="0"/>
                <w:szCs w:val="21"/>
              </w:rPr>
            </w:pPr>
            <w:r>
              <w:rPr>
                <w:rFonts w:hint="eastAsia" w:ascii="宋体" w:hAnsi="宋体" w:eastAsia="宋体" w:cs="宋体"/>
                <w:kern w:val="0"/>
                <w:szCs w:val="21"/>
              </w:rPr>
              <w:t>级  别</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金额（万元/项）</w:t>
            </w:r>
          </w:p>
        </w:tc>
        <w:tc>
          <w:tcPr>
            <w:tcW w:w="269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指导教师</w:t>
            </w:r>
          </w:p>
        </w:tc>
        <w:tc>
          <w:tcPr>
            <w:tcW w:w="2976" w:type="dxa"/>
            <w:gridSpan w:val="2"/>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优秀指导教师奖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0.3</w:t>
            </w:r>
          </w:p>
        </w:tc>
        <w:tc>
          <w:tcPr>
            <w:tcW w:w="269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指导新入职</w:t>
            </w:r>
          </w:p>
          <w:p>
            <w:pPr>
              <w:widowControl/>
              <w:jc w:val="center"/>
              <w:rPr>
                <w:rFonts w:ascii="宋体" w:hAnsi="宋体" w:eastAsia="宋体" w:cs="宋体"/>
                <w:kern w:val="0"/>
                <w:szCs w:val="21"/>
              </w:rPr>
            </w:pPr>
            <w:r>
              <w:rPr>
                <w:rFonts w:hint="eastAsia" w:ascii="宋体" w:hAnsi="宋体" w:eastAsia="宋体" w:cs="宋体"/>
                <w:kern w:val="0"/>
                <w:szCs w:val="21"/>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1276" w:type="dxa"/>
            <w:vMerge w:val="restart"/>
            <w:vAlign w:val="center"/>
          </w:tcPr>
          <w:p>
            <w:pPr>
              <w:jc w:val="center"/>
              <w:rPr>
                <w:rFonts w:ascii="宋体" w:hAnsi="宋体" w:eastAsia="宋体" w:cs="宋体"/>
                <w:kern w:val="0"/>
                <w:szCs w:val="21"/>
              </w:rPr>
            </w:pPr>
            <w:r>
              <w:rPr>
                <w:rFonts w:hint="eastAsia" w:ascii="宋体" w:hAnsi="宋体" w:eastAsia="宋体" w:cs="宋体"/>
                <w:spacing w:val="-6"/>
                <w:kern w:val="0"/>
                <w:szCs w:val="21"/>
              </w:rPr>
              <w:t>指导学生</w:t>
            </w:r>
          </w:p>
        </w:tc>
        <w:tc>
          <w:tcPr>
            <w:tcW w:w="1559" w:type="dxa"/>
            <w:vMerge w:val="restart"/>
            <w:vAlign w:val="center"/>
          </w:tcPr>
          <w:p>
            <w:pPr>
              <w:jc w:val="center"/>
              <w:rPr>
                <w:rFonts w:ascii="宋体" w:hAnsi="宋体" w:eastAsia="宋体" w:cs="宋体"/>
                <w:kern w:val="0"/>
                <w:szCs w:val="21"/>
              </w:rPr>
            </w:pPr>
            <w:r>
              <w:rPr>
                <w:rFonts w:hint="eastAsia" w:ascii="宋体" w:hAnsi="宋体" w:eastAsia="宋体" w:cs="宋体"/>
                <w:spacing w:val="-6"/>
                <w:kern w:val="0"/>
                <w:szCs w:val="21"/>
              </w:rPr>
              <w:t>国家级及国际赛事</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一等奖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spacing w:val="-6"/>
                <w:kern w:val="0"/>
                <w:szCs w:val="21"/>
              </w:rPr>
              <w:t>1.0</w:t>
            </w:r>
          </w:p>
        </w:tc>
        <w:tc>
          <w:tcPr>
            <w:tcW w:w="2693"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二等奖</w:t>
            </w:r>
          </w:p>
        </w:tc>
        <w:tc>
          <w:tcPr>
            <w:tcW w:w="1843" w:type="dxa"/>
            <w:vAlign w:val="center"/>
          </w:tcPr>
          <w:p>
            <w:pPr>
              <w:jc w:val="center"/>
              <w:rPr>
                <w:rFonts w:ascii="宋体" w:hAnsi="宋体" w:eastAsia="宋体" w:cs="宋体"/>
                <w:kern w:val="0"/>
                <w:szCs w:val="21"/>
              </w:rPr>
            </w:pPr>
            <w:r>
              <w:rPr>
                <w:rFonts w:hint="eastAsia" w:ascii="宋体" w:hAnsi="宋体" w:eastAsia="宋体" w:cs="宋体"/>
                <w:spacing w:val="-6"/>
                <w:kern w:val="0"/>
                <w:szCs w:val="21"/>
              </w:rPr>
              <w:t>0.6</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0.3</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省级或省级赛区</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一等奖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0.1</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0.06</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0.04</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p>
            <w:pPr>
              <w:widowControl/>
              <w:jc w:val="center"/>
              <w:rPr>
                <w:rFonts w:ascii="宋体" w:hAnsi="宋体" w:eastAsia="宋体" w:cs="宋体"/>
                <w:kern w:val="0"/>
                <w:szCs w:val="21"/>
              </w:rPr>
            </w:pPr>
            <w:r>
              <w:rPr>
                <w:rFonts w:hint="eastAsia" w:ascii="宋体" w:hAnsi="宋体" w:eastAsia="宋体" w:cs="宋体"/>
                <w:kern w:val="0"/>
                <w:szCs w:val="21"/>
              </w:rPr>
              <w:t>比赛</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一等奖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0.06</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二等奖</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0.04</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276" w:type="dxa"/>
            <w:vMerge w:val="continue"/>
            <w:vAlign w:val="center"/>
          </w:tcPr>
          <w:p>
            <w:pPr>
              <w:widowControl/>
              <w:jc w:val="center"/>
              <w:rPr>
                <w:rFonts w:ascii="宋体" w:hAnsi="宋体" w:eastAsia="宋体" w:cs="宋体"/>
                <w:kern w:val="0"/>
                <w:szCs w:val="21"/>
              </w:rPr>
            </w:pPr>
          </w:p>
        </w:tc>
        <w:tc>
          <w:tcPr>
            <w:tcW w:w="1559"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大学生创新创业训练计划</w:t>
            </w: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0.2</w:t>
            </w:r>
          </w:p>
        </w:tc>
        <w:tc>
          <w:tcPr>
            <w:tcW w:w="2693" w:type="dxa"/>
            <w:vMerge w:val="continue"/>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76" w:type="dxa"/>
            <w:vMerge w:val="continue"/>
            <w:vAlign w:val="center"/>
          </w:tcPr>
          <w:p>
            <w:pPr>
              <w:widowControl/>
              <w:jc w:val="center"/>
              <w:rPr>
                <w:rFonts w:ascii="宋体" w:hAnsi="宋体" w:eastAsia="宋体" w:cs="宋体"/>
                <w:kern w:val="0"/>
                <w:szCs w:val="21"/>
              </w:rPr>
            </w:pPr>
          </w:p>
        </w:tc>
        <w:tc>
          <w:tcPr>
            <w:tcW w:w="1559" w:type="dxa"/>
            <w:vMerge w:val="continue"/>
            <w:vAlign w:val="center"/>
          </w:tcPr>
          <w:p>
            <w:pPr>
              <w:widowControl/>
              <w:jc w:val="center"/>
              <w:rPr>
                <w:rFonts w:ascii="宋体" w:hAnsi="宋体" w:eastAsia="宋体" w:cs="宋体"/>
                <w:kern w:val="0"/>
                <w:szCs w:val="21"/>
              </w:rPr>
            </w:pP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  级</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0.05</w:t>
            </w:r>
          </w:p>
        </w:tc>
        <w:tc>
          <w:tcPr>
            <w:tcW w:w="2693" w:type="dxa"/>
            <w:vMerge w:val="continue"/>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276" w:type="dxa"/>
            <w:vMerge w:val="continue"/>
            <w:vAlign w:val="center"/>
          </w:tcPr>
          <w:p>
            <w:pPr>
              <w:widowControl/>
              <w:jc w:val="center"/>
              <w:rPr>
                <w:rFonts w:ascii="宋体" w:hAnsi="宋体" w:eastAsia="宋体" w:cs="宋体"/>
                <w:kern w:val="0"/>
                <w:szCs w:val="21"/>
              </w:rPr>
            </w:pPr>
          </w:p>
        </w:tc>
        <w:tc>
          <w:tcPr>
            <w:tcW w:w="2976"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毕业论文(设计)</w:t>
            </w:r>
          </w:p>
          <w:p>
            <w:pPr>
              <w:widowControl/>
              <w:jc w:val="center"/>
              <w:rPr>
                <w:rFonts w:ascii="宋体" w:hAnsi="宋体" w:eastAsia="宋体" w:cs="宋体"/>
                <w:kern w:val="0"/>
                <w:szCs w:val="21"/>
              </w:rPr>
            </w:pPr>
            <w:r>
              <w:rPr>
                <w:rFonts w:hint="eastAsia" w:ascii="宋体" w:hAnsi="宋体" w:eastAsia="宋体" w:cs="宋体"/>
                <w:spacing w:val="-6"/>
                <w:kern w:val="0"/>
                <w:szCs w:val="21"/>
              </w:rPr>
              <w:t>学生实习(实训）</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0.03</w:t>
            </w:r>
          </w:p>
        </w:tc>
        <w:tc>
          <w:tcPr>
            <w:tcW w:w="2693" w:type="dxa"/>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获得优秀的</w:t>
            </w:r>
          </w:p>
          <w:p>
            <w:pPr>
              <w:widowControl/>
              <w:jc w:val="center"/>
              <w:rPr>
                <w:rFonts w:ascii="宋体" w:hAnsi="宋体" w:eastAsia="宋体" w:cs="宋体"/>
                <w:kern w:val="0"/>
                <w:szCs w:val="21"/>
              </w:rPr>
            </w:pPr>
            <w:r>
              <w:rPr>
                <w:rFonts w:hint="eastAsia" w:ascii="宋体" w:hAnsi="宋体" w:eastAsia="宋体" w:cs="宋体"/>
                <w:spacing w:val="-6"/>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76" w:type="dxa"/>
            <w:vMerge w:val="continue"/>
            <w:vAlign w:val="center"/>
          </w:tcPr>
          <w:p>
            <w:pPr>
              <w:widowControl/>
              <w:jc w:val="center"/>
              <w:rPr>
                <w:rFonts w:ascii="宋体" w:hAnsi="宋体" w:eastAsia="宋体" w:cs="宋体"/>
                <w:kern w:val="0"/>
                <w:szCs w:val="21"/>
              </w:rPr>
            </w:pPr>
          </w:p>
        </w:tc>
        <w:tc>
          <w:tcPr>
            <w:tcW w:w="2976"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学生论文（核心）</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0.1</w:t>
            </w:r>
          </w:p>
        </w:tc>
        <w:tc>
          <w:tcPr>
            <w:tcW w:w="2693" w:type="dxa"/>
            <w:vAlign w:val="center"/>
          </w:tcPr>
          <w:p>
            <w:pPr>
              <w:widowControl/>
              <w:rPr>
                <w:rFonts w:ascii="宋体" w:hAnsi="宋体" w:eastAsia="宋体" w:cs="宋体"/>
                <w:kern w:val="0"/>
                <w:szCs w:val="21"/>
              </w:rPr>
            </w:pPr>
            <w:r>
              <w:rPr>
                <w:rFonts w:hint="eastAsia" w:ascii="宋体" w:hAnsi="宋体" w:eastAsia="宋体" w:cs="宋体"/>
                <w:spacing w:val="-6"/>
                <w:kern w:val="0"/>
                <w:szCs w:val="21"/>
              </w:rPr>
              <w:t>第一署名作者且单位署名内江师范学院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vAlign w:val="center"/>
          </w:tcPr>
          <w:p>
            <w:pPr>
              <w:widowControl/>
              <w:jc w:val="center"/>
              <w:rPr>
                <w:rFonts w:ascii="宋体" w:hAnsi="宋体" w:eastAsia="宋体" w:cs="宋体"/>
                <w:kern w:val="0"/>
                <w:szCs w:val="21"/>
              </w:rPr>
            </w:pPr>
          </w:p>
        </w:tc>
        <w:tc>
          <w:tcPr>
            <w:tcW w:w="2976" w:type="dxa"/>
            <w:gridSpan w:val="2"/>
            <w:vAlign w:val="center"/>
          </w:tcPr>
          <w:p>
            <w:pPr>
              <w:widowControl/>
              <w:jc w:val="center"/>
              <w:rPr>
                <w:rFonts w:ascii="宋体" w:hAnsi="宋体" w:eastAsia="宋体" w:cs="宋体"/>
                <w:spacing w:val="-6"/>
                <w:kern w:val="0"/>
                <w:szCs w:val="21"/>
              </w:rPr>
            </w:pPr>
            <w:r>
              <w:rPr>
                <w:rFonts w:hint="eastAsia" w:ascii="宋体" w:hAnsi="宋体" w:eastAsia="宋体" w:cs="宋体"/>
                <w:spacing w:val="-6"/>
                <w:kern w:val="0"/>
                <w:szCs w:val="21"/>
              </w:rPr>
              <w:t>学生专利</w:t>
            </w:r>
          </w:p>
        </w:tc>
        <w:tc>
          <w:tcPr>
            <w:tcW w:w="1843" w:type="dxa"/>
            <w:vAlign w:val="center"/>
          </w:tcPr>
          <w:p>
            <w:pPr>
              <w:jc w:val="center"/>
              <w:rPr>
                <w:rFonts w:ascii="宋体" w:hAnsi="宋体" w:eastAsia="宋体" w:cs="宋体"/>
                <w:spacing w:val="-6"/>
                <w:kern w:val="0"/>
                <w:szCs w:val="21"/>
              </w:rPr>
            </w:pPr>
            <w:r>
              <w:rPr>
                <w:rFonts w:hint="eastAsia" w:ascii="宋体" w:hAnsi="宋体" w:eastAsia="宋体" w:cs="宋体"/>
                <w:spacing w:val="-6"/>
                <w:kern w:val="0"/>
                <w:szCs w:val="21"/>
              </w:rPr>
              <w:t>0.2</w:t>
            </w:r>
          </w:p>
        </w:tc>
        <w:tc>
          <w:tcPr>
            <w:tcW w:w="2693" w:type="dxa"/>
            <w:vAlign w:val="center"/>
          </w:tcPr>
          <w:p>
            <w:pPr>
              <w:widowControl/>
              <w:rPr>
                <w:rFonts w:ascii="宋体" w:hAnsi="宋体" w:eastAsia="宋体" w:cs="宋体"/>
                <w:kern w:val="0"/>
                <w:szCs w:val="21"/>
              </w:rPr>
            </w:pPr>
            <w:r>
              <w:rPr>
                <w:rFonts w:hint="eastAsia" w:ascii="宋体" w:hAnsi="宋体" w:eastAsia="宋体" w:cs="宋体"/>
                <w:spacing w:val="-6"/>
                <w:kern w:val="0"/>
                <w:szCs w:val="21"/>
              </w:rPr>
              <w:t>署名前三位，专利权人为内江师范学院。</w:t>
            </w:r>
          </w:p>
        </w:tc>
      </w:tr>
    </w:tbl>
    <w:p>
      <w:pPr>
        <w:widowControl/>
        <w:ind w:firstLine="458" w:firstLineChars="200"/>
        <w:rPr>
          <w:rFonts w:ascii="宋体" w:hAnsi="宋体" w:eastAsia="宋体" w:cs="宋体"/>
          <w:b/>
          <w:bCs/>
          <w:spacing w:val="-6"/>
          <w:kern w:val="0"/>
          <w:sz w:val="24"/>
          <w:szCs w:val="24"/>
        </w:rPr>
      </w:pPr>
    </w:p>
    <w:p>
      <w:pPr>
        <w:widowControl/>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第七条</w:t>
      </w:r>
      <w:r>
        <w:rPr>
          <w:rFonts w:hint="eastAsia" w:ascii="宋体" w:hAnsi="宋体" w:eastAsia="宋体" w:cs="宋体"/>
          <w:spacing w:val="-6"/>
          <w:kern w:val="0"/>
          <w:sz w:val="24"/>
          <w:szCs w:val="24"/>
        </w:rPr>
        <w:t xml:space="preserve">  优秀教材奖：对编撰优秀教材的教师给予奖励。</w:t>
      </w:r>
    </w:p>
    <w:p>
      <w:pPr>
        <w:widowControl/>
        <w:ind w:firstLine="456" w:firstLineChars="200"/>
        <w:rPr>
          <w:rFonts w:hint="eastAsia" w:ascii="宋体" w:hAnsi="宋体" w:eastAsia="宋体" w:cs="宋体"/>
          <w:spacing w:val="-6"/>
          <w:kern w:val="0"/>
          <w:sz w:val="24"/>
          <w:szCs w:val="24"/>
        </w:rPr>
      </w:pPr>
    </w:p>
    <w:tbl>
      <w:tblPr>
        <w:tblStyle w:val="15"/>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418"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类  型</w:t>
            </w: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金额（万元/部）</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418" w:type="dxa"/>
            <w:vMerge w:val="restart"/>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理论性教材</w:t>
            </w: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0.5</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教材字数20～30万/部，第一主编，单位署名内江师范学院。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18" w:type="dxa"/>
            <w:vMerge w:val="continue"/>
            <w:vAlign w:val="center"/>
          </w:tcPr>
          <w:p>
            <w:pPr>
              <w:widowControl/>
              <w:spacing w:line="480" w:lineRule="exact"/>
              <w:jc w:val="center"/>
              <w:rPr>
                <w:rFonts w:ascii="宋体" w:hAnsi="宋体" w:eastAsia="宋体" w:cs="宋体"/>
                <w:kern w:val="0"/>
                <w:szCs w:val="21"/>
              </w:rPr>
            </w:pP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教材字数≥30万/部，第一主编，单位署名内江师范学院。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18" w:type="dxa"/>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应用型教材（含实训、实验等指导手册、教程等）</w:t>
            </w: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0.5</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教材字数5～10万/部，第一主编，单位署名内江师范学院。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18" w:type="dxa"/>
            <w:vMerge w:val="continue"/>
            <w:vAlign w:val="center"/>
          </w:tcPr>
          <w:p>
            <w:pPr>
              <w:widowControl/>
              <w:spacing w:line="480" w:lineRule="exact"/>
              <w:jc w:val="center"/>
              <w:rPr>
                <w:rFonts w:ascii="宋体" w:hAnsi="宋体" w:eastAsia="宋体" w:cs="宋体"/>
                <w:kern w:val="0"/>
                <w:szCs w:val="21"/>
              </w:rPr>
            </w:pP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1.0</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教材字数10～20万/部，第一主编，单位署名内江师范学院。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18" w:type="dxa"/>
            <w:vMerge w:val="continue"/>
            <w:vAlign w:val="center"/>
          </w:tcPr>
          <w:p>
            <w:pPr>
              <w:widowControl/>
              <w:spacing w:line="480" w:lineRule="exact"/>
              <w:jc w:val="center"/>
              <w:rPr>
                <w:rFonts w:ascii="宋体" w:hAnsi="宋体" w:eastAsia="宋体" w:cs="宋体"/>
                <w:kern w:val="0"/>
                <w:szCs w:val="21"/>
              </w:rPr>
            </w:pPr>
          </w:p>
        </w:tc>
        <w:tc>
          <w:tcPr>
            <w:tcW w:w="1701"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2.0</w:t>
            </w:r>
          </w:p>
        </w:tc>
        <w:tc>
          <w:tcPr>
            <w:tcW w:w="55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教材字数≥20万/部，第一主编，单位署名内江师范学院。</w:t>
            </w:r>
          </w:p>
        </w:tc>
      </w:tr>
    </w:tbl>
    <w:p>
      <w:pPr>
        <w:widowControl/>
        <w:spacing w:line="480" w:lineRule="exact"/>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 xml:space="preserve">第八条  </w:t>
      </w:r>
      <w:r>
        <w:rPr>
          <w:rFonts w:hint="eastAsia" w:ascii="宋体" w:hAnsi="宋体" w:eastAsia="宋体" w:cs="宋体"/>
          <w:spacing w:val="-6"/>
          <w:kern w:val="0"/>
          <w:sz w:val="24"/>
          <w:szCs w:val="24"/>
        </w:rPr>
        <w:t>优秀教研论文奖：对认真进行教改研究并公开发表教研论文的教师给予奖励。</w:t>
      </w:r>
    </w:p>
    <w:tbl>
      <w:tblPr>
        <w:tblStyle w:val="15"/>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31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5"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级  别</w:t>
            </w:r>
          </w:p>
        </w:tc>
        <w:tc>
          <w:tcPr>
            <w:tcW w:w="2310"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金额（万元/篇）</w:t>
            </w:r>
          </w:p>
        </w:tc>
        <w:tc>
          <w:tcPr>
            <w:tcW w:w="5103"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5"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核心期刊</w:t>
            </w:r>
          </w:p>
        </w:tc>
        <w:tc>
          <w:tcPr>
            <w:tcW w:w="2310"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0.3</w:t>
            </w:r>
          </w:p>
        </w:tc>
        <w:tc>
          <w:tcPr>
            <w:tcW w:w="5103" w:type="dxa"/>
            <w:vMerge w:val="restart"/>
            <w:vAlign w:val="center"/>
          </w:tcPr>
          <w:p>
            <w:pPr>
              <w:widowControl/>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第一署名作者</w:t>
            </w:r>
          </w:p>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第一署名单位为内江师范学院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5" w:type="dxa"/>
            <w:vAlign w:val="center"/>
          </w:tcPr>
          <w:p>
            <w:pPr>
              <w:spacing w:line="480" w:lineRule="exact"/>
              <w:jc w:val="center"/>
              <w:rPr>
                <w:rFonts w:ascii="宋体" w:hAnsi="宋体" w:eastAsia="宋体" w:cs="宋体"/>
                <w:kern w:val="0"/>
                <w:szCs w:val="21"/>
              </w:rPr>
            </w:pPr>
            <w:r>
              <w:rPr>
                <w:rFonts w:hint="eastAsia" w:ascii="宋体" w:hAnsi="宋体" w:eastAsia="宋体" w:cs="宋体"/>
                <w:kern w:val="0"/>
                <w:szCs w:val="21"/>
              </w:rPr>
              <w:t>一般期刊</w:t>
            </w:r>
          </w:p>
        </w:tc>
        <w:tc>
          <w:tcPr>
            <w:tcW w:w="2310"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spacing w:val="-6"/>
                <w:kern w:val="0"/>
                <w:szCs w:val="21"/>
              </w:rPr>
              <w:t>0.05</w:t>
            </w:r>
          </w:p>
        </w:tc>
        <w:tc>
          <w:tcPr>
            <w:tcW w:w="5103" w:type="dxa"/>
            <w:vMerge w:val="continue"/>
            <w:vAlign w:val="center"/>
          </w:tcPr>
          <w:p>
            <w:pPr>
              <w:widowControl/>
              <w:spacing w:line="480" w:lineRule="exact"/>
              <w:jc w:val="center"/>
              <w:rPr>
                <w:rFonts w:ascii="宋体" w:hAnsi="宋体" w:eastAsia="宋体" w:cs="宋体"/>
                <w:kern w:val="0"/>
                <w:szCs w:val="21"/>
              </w:rPr>
            </w:pPr>
          </w:p>
        </w:tc>
      </w:tr>
    </w:tbl>
    <w:p>
      <w:pPr>
        <w:widowControl/>
        <w:ind w:firstLine="398" w:firstLineChars="200"/>
        <w:rPr>
          <w:rFonts w:ascii="宋体" w:hAnsi="宋体" w:eastAsia="宋体" w:cs="宋体"/>
          <w:b/>
          <w:bCs/>
          <w:spacing w:val="-6"/>
          <w:kern w:val="0"/>
          <w:szCs w:val="21"/>
        </w:rPr>
      </w:pPr>
    </w:p>
    <w:p>
      <w:pPr>
        <w:widowControl/>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第九条</w:t>
      </w:r>
      <w:r>
        <w:rPr>
          <w:rFonts w:hint="eastAsia" w:ascii="宋体" w:hAnsi="宋体" w:eastAsia="宋体" w:cs="宋体"/>
          <w:spacing w:val="-6"/>
          <w:kern w:val="0"/>
          <w:sz w:val="24"/>
          <w:szCs w:val="24"/>
        </w:rPr>
        <w:t>   优秀教学管理奖：对教学管理工作取得优秀业绩的个人给予奖励。</w:t>
      </w:r>
    </w:p>
    <w:p>
      <w:pPr>
        <w:widowControl/>
        <w:ind w:firstLine="456" w:firstLineChars="200"/>
        <w:rPr>
          <w:rFonts w:hint="eastAsia" w:ascii="宋体" w:hAnsi="宋体" w:eastAsia="宋体" w:cs="宋体"/>
          <w:spacing w:val="-6"/>
          <w:kern w:val="0"/>
          <w:sz w:val="24"/>
          <w:szCs w:val="24"/>
        </w:rPr>
      </w:pPr>
    </w:p>
    <w:tbl>
      <w:tblPr>
        <w:tblStyle w:val="15"/>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4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级  别</w:t>
            </w:r>
          </w:p>
        </w:tc>
        <w:tc>
          <w:tcPr>
            <w:tcW w:w="3402"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金额（万元）</w:t>
            </w:r>
          </w:p>
        </w:tc>
        <w:tc>
          <w:tcPr>
            <w:tcW w:w="3260" w:type="dxa"/>
            <w:vAlign w:val="center"/>
          </w:tcPr>
          <w:p>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984" w:type="dxa"/>
            <w:vAlign w:val="center"/>
          </w:tcPr>
          <w:p>
            <w:pPr>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优秀教学管理人员</w:t>
            </w:r>
          </w:p>
        </w:tc>
        <w:tc>
          <w:tcPr>
            <w:tcW w:w="3402" w:type="dxa"/>
            <w:vAlign w:val="center"/>
          </w:tcPr>
          <w:p>
            <w:pPr>
              <w:spacing w:line="480" w:lineRule="exact"/>
              <w:jc w:val="center"/>
              <w:rPr>
                <w:rFonts w:ascii="宋体" w:hAnsi="宋体" w:eastAsia="宋体" w:cs="宋体"/>
                <w:spacing w:val="-6"/>
                <w:kern w:val="0"/>
                <w:szCs w:val="21"/>
              </w:rPr>
            </w:pPr>
            <w:r>
              <w:rPr>
                <w:rFonts w:hint="eastAsia" w:ascii="宋体" w:hAnsi="宋体" w:eastAsia="宋体" w:cs="宋体"/>
                <w:spacing w:val="-6"/>
                <w:kern w:val="0"/>
                <w:szCs w:val="21"/>
              </w:rPr>
              <w:t>参照人事处有关标准执行</w:t>
            </w:r>
          </w:p>
        </w:tc>
        <w:tc>
          <w:tcPr>
            <w:tcW w:w="3260" w:type="dxa"/>
            <w:vAlign w:val="center"/>
          </w:tcPr>
          <w:p>
            <w:pPr>
              <w:widowControl/>
              <w:spacing w:line="276" w:lineRule="auto"/>
              <w:jc w:val="center"/>
              <w:rPr>
                <w:rFonts w:ascii="宋体" w:hAnsi="宋体" w:eastAsia="宋体" w:cs="宋体"/>
                <w:spacing w:val="-6"/>
                <w:kern w:val="0"/>
                <w:szCs w:val="21"/>
              </w:rPr>
            </w:pPr>
            <w:r>
              <w:rPr>
                <w:rFonts w:hint="eastAsia" w:ascii="宋体" w:hAnsi="宋体" w:eastAsia="宋体" w:cs="宋体"/>
                <w:spacing w:val="-6"/>
                <w:kern w:val="0"/>
                <w:szCs w:val="21"/>
              </w:rPr>
              <w:t>每年评选一次</w:t>
            </w:r>
          </w:p>
          <w:p>
            <w:pPr>
              <w:widowControl/>
              <w:spacing w:line="276" w:lineRule="auto"/>
              <w:jc w:val="center"/>
              <w:rPr>
                <w:rFonts w:ascii="宋体" w:hAnsi="宋体" w:eastAsia="宋体" w:cs="宋体"/>
                <w:spacing w:val="-6"/>
                <w:kern w:val="0"/>
                <w:szCs w:val="21"/>
              </w:rPr>
            </w:pPr>
            <w:r>
              <w:rPr>
                <w:rFonts w:hint="eastAsia" w:ascii="宋体" w:hAnsi="宋体" w:eastAsia="宋体" w:cs="宋体"/>
                <w:spacing w:val="-6"/>
                <w:kern w:val="0"/>
                <w:szCs w:val="21"/>
              </w:rPr>
              <w:t>评选10人左右</w:t>
            </w:r>
          </w:p>
        </w:tc>
      </w:tr>
    </w:tbl>
    <w:p>
      <w:pPr>
        <w:widowControl/>
        <w:spacing w:line="480" w:lineRule="exact"/>
        <w:jc w:val="center"/>
        <w:rPr>
          <w:rFonts w:ascii="宋体" w:hAnsi="宋体" w:eastAsia="宋体" w:cs="宋体"/>
          <w:b/>
          <w:kern w:val="0"/>
          <w:sz w:val="24"/>
          <w:szCs w:val="24"/>
        </w:rPr>
      </w:pPr>
      <w:r>
        <w:rPr>
          <w:rFonts w:hint="eastAsia" w:ascii="宋体" w:hAnsi="宋体" w:eastAsia="宋体" w:cs="宋体"/>
          <w:b/>
          <w:bCs/>
          <w:spacing w:val="-6"/>
          <w:kern w:val="0"/>
          <w:sz w:val="24"/>
          <w:szCs w:val="24"/>
        </w:rPr>
        <w:t>第三章   奖励审批与发放</w:t>
      </w:r>
    </w:p>
    <w:p>
      <w:pPr>
        <w:widowControl/>
        <w:spacing w:line="480" w:lineRule="exact"/>
        <w:ind w:firstLine="458" w:firstLineChars="200"/>
        <w:rPr>
          <w:rFonts w:ascii="宋体" w:hAnsi="宋体" w:eastAsia="宋体" w:cs="宋体"/>
          <w:spacing w:val="-6"/>
          <w:kern w:val="0"/>
          <w:sz w:val="24"/>
          <w:szCs w:val="24"/>
        </w:rPr>
      </w:pPr>
      <w:r>
        <w:rPr>
          <w:rFonts w:hint="eastAsia" w:ascii="宋体" w:hAnsi="宋体" w:eastAsia="宋体" w:cs="宋体"/>
          <w:b/>
          <w:bCs/>
          <w:spacing w:val="-6"/>
          <w:kern w:val="0"/>
          <w:sz w:val="24"/>
          <w:szCs w:val="24"/>
        </w:rPr>
        <w:t>第十条</w:t>
      </w:r>
      <w:r>
        <w:rPr>
          <w:rFonts w:hint="eastAsia" w:ascii="宋体" w:hAnsi="宋体" w:eastAsia="宋体" w:cs="宋体"/>
          <w:spacing w:val="-6"/>
          <w:kern w:val="0"/>
          <w:sz w:val="24"/>
          <w:szCs w:val="24"/>
        </w:rPr>
        <w:t xml:space="preserve">  教学奖励经费专款专用，每年年底由教务处作出预算，款项按照相关管理规定和财经制度进行发放。</w:t>
      </w:r>
    </w:p>
    <w:p>
      <w:pPr>
        <w:widowControl/>
        <w:spacing w:line="480" w:lineRule="exact"/>
        <w:jc w:val="center"/>
        <w:rPr>
          <w:rFonts w:ascii="宋体" w:hAnsi="宋体" w:eastAsia="宋体" w:cs="宋体"/>
          <w:b/>
          <w:kern w:val="0"/>
          <w:sz w:val="24"/>
          <w:szCs w:val="24"/>
        </w:rPr>
      </w:pPr>
      <w:r>
        <w:rPr>
          <w:rFonts w:hint="eastAsia" w:ascii="宋体" w:hAnsi="宋体" w:eastAsia="宋体" w:cs="宋体"/>
          <w:b/>
          <w:bCs/>
          <w:spacing w:val="-6"/>
          <w:kern w:val="0"/>
          <w:sz w:val="24"/>
          <w:szCs w:val="24"/>
        </w:rPr>
        <w:t>第四章   附则</w:t>
      </w:r>
    </w:p>
    <w:p>
      <w:pPr>
        <w:widowControl/>
        <w:spacing w:line="480" w:lineRule="exact"/>
        <w:ind w:firstLine="458" w:firstLineChars="200"/>
        <w:rPr>
          <w:rFonts w:ascii="宋体" w:hAnsi="宋体" w:eastAsia="宋体" w:cs="宋体"/>
          <w:kern w:val="0"/>
          <w:sz w:val="24"/>
          <w:szCs w:val="24"/>
        </w:rPr>
      </w:pPr>
      <w:r>
        <w:rPr>
          <w:rFonts w:hint="eastAsia" w:ascii="宋体" w:hAnsi="宋体" w:eastAsia="宋体" w:cs="宋体"/>
          <w:b/>
          <w:bCs/>
          <w:spacing w:val="-6"/>
          <w:kern w:val="0"/>
          <w:sz w:val="24"/>
          <w:szCs w:val="24"/>
        </w:rPr>
        <w:t>第十一条</w:t>
      </w:r>
      <w:r>
        <w:rPr>
          <w:rFonts w:hint="eastAsia" w:ascii="宋体" w:hAnsi="宋体" w:eastAsia="宋体" w:cs="宋体"/>
          <w:spacing w:val="-6"/>
          <w:kern w:val="0"/>
          <w:sz w:val="24"/>
          <w:szCs w:val="24"/>
        </w:rPr>
        <w:t xml:space="preserve">  鼓励二级学院参照本办法制订本单位教学奖励实施办法。</w:t>
      </w:r>
    </w:p>
    <w:p>
      <w:pPr>
        <w:widowControl/>
        <w:spacing w:line="480" w:lineRule="exact"/>
        <w:ind w:firstLine="458" w:firstLineChars="200"/>
        <w:rPr>
          <w:rFonts w:ascii="宋体" w:hAnsi="宋体" w:eastAsia="宋体" w:cs="宋体"/>
          <w:kern w:val="0"/>
          <w:sz w:val="24"/>
          <w:szCs w:val="24"/>
        </w:rPr>
      </w:pPr>
      <w:r>
        <w:rPr>
          <w:rFonts w:hint="eastAsia" w:ascii="宋体" w:hAnsi="宋体" w:eastAsia="宋体" w:cs="宋体"/>
          <w:b/>
          <w:bCs/>
          <w:spacing w:val="-6"/>
          <w:kern w:val="0"/>
          <w:sz w:val="24"/>
          <w:szCs w:val="24"/>
        </w:rPr>
        <w:t>第十二条</w:t>
      </w:r>
      <w:r>
        <w:rPr>
          <w:rFonts w:hint="eastAsia" w:ascii="宋体" w:hAnsi="宋体" w:eastAsia="宋体" w:cs="宋体"/>
          <w:spacing w:val="-6"/>
          <w:kern w:val="0"/>
          <w:sz w:val="24"/>
          <w:szCs w:val="24"/>
        </w:rPr>
        <w:t xml:space="preserve">  本办法自二〇</w:t>
      </w:r>
      <w:r>
        <w:rPr>
          <w:rFonts w:hint="eastAsia" w:ascii="宋体" w:hAnsi="宋体" w:eastAsia="宋体" w:cs="仿宋_GB2312"/>
          <w:spacing w:val="-6"/>
          <w:kern w:val="0"/>
          <w:sz w:val="24"/>
          <w:szCs w:val="24"/>
        </w:rPr>
        <w:t>一四年一月一</w:t>
      </w:r>
      <w:r>
        <w:rPr>
          <w:rFonts w:hint="eastAsia" w:ascii="宋体" w:hAnsi="宋体" w:eastAsia="宋体" w:cs="宋体"/>
          <w:spacing w:val="-6"/>
          <w:kern w:val="0"/>
          <w:sz w:val="24"/>
          <w:szCs w:val="24"/>
        </w:rPr>
        <w:t>日起开始实施，原内江师范学院有关教学奖励文件同时废止。本办法由教务处负责解释。</w:t>
      </w:r>
    </w:p>
    <w:p>
      <w:pPr>
        <w:spacing w:line="480" w:lineRule="exact"/>
        <w:rPr>
          <w:rFonts w:ascii="宋体" w:hAnsi="宋体" w:eastAsia="宋体"/>
          <w:sz w:val="24"/>
          <w:szCs w:val="24"/>
        </w:rPr>
      </w:pPr>
    </w:p>
    <w:p>
      <w:pPr>
        <w:spacing w:line="480" w:lineRule="exact"/>
        <w:rPr>
          <w:rFonts w:ascii="宋体" w:hAnsi="宋体" w:eastAsia="宋体"/>
          <w:sz w:val="24"/>
          <w:szCs w:val="24"/>
        </w:rPr>
      </w:pPr>
    </w:p>
    <w:p>
      <w:pPr>
        <w:spacing w:line="480" w:lineRule="exact"/>
        <w:jc w:val="right"/>
        <w:rPr>
          <w:rFonts w:ascii="宋体" w:hAnsi="宋体" w:eastAsia="宋体"/>
          <w:sz w:val="24"/>
          <w:szCs w:val="24"/>
        </w:rPr>
      </w:pPr>
      <w:r>
        <w:rPr>
          <w:rFonts w:hint="eastAsia" w:ascii="宋体" w:hAnsi="宋体" w:eastAsia="宋体"/>
          <w:sz w:val="24"/>
          <w:szCs w:val="24"/>
        </w:rPr>
        <w:t>2014年9月5日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widowControl/>
        <w:spacing w:line="560" w:lineRule="exact"/>
        <w:ind w:firstLine="619" w:firstLineChars="200"/>
        <w:jc w:val="center"/>
        <w:rPr>
          <w:rFonts w:ascii="宋体" w:hAnsi="宋体" w:cs="宋体"/>
          <w:b/>
          <w:spacing w:val="-6"/>
          <w:kern w:val="0"/>
          <w:sz w:val="32"/>
          <w:szCs w:val="32"/>
        </w:rPr>
      </w:pPr>
      <w:r>
        <w:rPr>
          <w:rFonts w:hint="eastAsia" w:ascii="宋体" w:hAnsi="宋体" w:cs="宋体"/>
          <w:b/>
          <w:spacing w:val="-6"/>
          <w:kern w:val="0"/>
          <w:sz w:val="32"/>
          <w:szCs w:val="32"/>
        </w:rPr>
        <w:t>内江师范学院</w:t>
      </w:r>
      <w:r>
        <w:rPr>
          <w:rFonts w:ascii="宋体" w:hAnsi="宋体" w:cs="宋体"/>
          <w:b/>
          <w:spacing w:val="-6"/>
          <w:kern w:val="0"/>
          <w:sz w:val="32"/>
          <w:szCs w:val="32"/>
        </w:rPr>
        <w:t>教学优秀奖评选办法</w:t>
      </w:r>
    </w:p>
    <w:p>
      <w:pPr>
        <w:widowControl/>
        <w:spacing w:line="560" w:lineRule="exact"/>
        <w:ind w:firstLine="538" w:firstLineChars="200"/>
        <w:jc w:val="center"/>
        <w:rPr>
          <w:rFonts w:ascii="宋体" w:hAnsi="宋体" w:cs="宋体"/>
          <w:b/>
          <w:spacing w:val="-6"/>
          <w:kern w:val="0"/>
          <w:sz w:val="28"/>
          <w:szCs w:val="28"/>
        </w:rPr>
      </w:pPr>
      <w:r>
        <w:rPr>
          <w:rFonts w:hint="eastAsia" w:ascii="宋体" w:hAnsi="宋体" w:cs="宋体"/>
          <w:b/>
          <w:spacing w:val="-6"/>
          <w:kern w:val="0"/>
          <w:sz w:val="28"/>
          <w:szCs w:val="28"/>
        </w:rPr>
        <w:t>内师教字</w:t>
      </w:r>
      <w:r>
        <w:rPr>
          <w:rFonts w:hint="eastAsia" w:ascii="宋体" w:hAnsi="宋体" w:eastAsia="宋体" w:cs="宋体"/>
          <w:b/>
          <w:bCs/>
          <w:spacing w:val="-6"/>
          <w:kern w:val="0"/>
          <w:sz w:val="28"/>
          <w:szCs w:val="28"/>
        </w:rPr>
        <w:t>〔201</w:t>
      </w:r>
      <w:r>
        <w:rPr>
          <w:rFonts w:ascii="宋体" w:hAnsi="宋体" w:eastAsia="宋体" w:cs="宋体"/>
          <w:b/>
          <w:bCs/>
          <w:spacing w:val="-6"/>
          <w:kern w:val="0"/>
          <w:sz w:val="28"/>
          <w:szCs w:val="28"/>
        </w:rPr>
        <w:t>5</w:t>
      </w:r>
      <w:r>
        <w:rPr>
          <w:rFonts w:hint="eastAsia" w:ascii="宋体" w:hAnsi="宋体" w:eastAsia="宋体" w:cs="宋体"/>
          <w:b/>
          <w:bCs/>
          <w:spacing w:val="-6"/>
          <w:kern w:val="0"/>
          <w:sz w:val="28"/>
          <w:szCs w:val="28"/>
        </w:rPr>
        <w:t>〕</w:t>
      </w:r>
      <w:r>
        <w:rPr>
          <w:rFonts w:hint="eastAsia" w:ascii="宋体" w:hAnsi="宋体" w:cs="宋体"/>
          <w:b/>
          <w:spacing w:val="-6"/>
          <w:kern w:val="0"/>
          <w:sz w:val="28"/>
          <w:szCs w:val="28"/>
        </w:rPr>
        <w:t>36号</w:t>
      </w:r>
    </w:p>
    <w:p>
      <w:pPr>
        <w:widowControl/>
        <w:spacing w:line="560" w:lineRule="exact"/>
        <w:ind w:firstLine="538" w:firstLineChars="200"/>
        <w:jc w:val="center"/>
        <w:rPr>
          <w:rFonts w:ascii="宋体" w:hAnsi="宋体" w:cs="宋体"/>
          <w:b/>
          <w:spacing w:val="-6"/>
          <w:kern w:val="0"/>
          <w:sz w:val="28"/>
          <w:szCs w:val="28"/>
        </w:rPr>
      </w:pP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为表彰和鼓励在教学工作中取得突出成绩的教师，吸引更多的教师积极投入</w:t>
      </w:r>
      <w:r>
        <w:rPr>
          <w:rFonts w:hint="eastAsia" w:ascii="宋体" w:hAnsi="宋体" w:cs="宋体"/>
          <w:spacing w:val="-6"/>
          <w:kern w:val="0"/>
          <w:sz w:val="24"/>
        </w:rPr>
        <w:t>教学</w:t>
      </w:r>
      <w:r>
        <w:rPr>
          <w:rFonts w:ascii="宋体" w:hAnsi="宋体" w:cs="宋体"/>
          <w:spacing w:val="-6"/>
          <w:kern w:val="0"/>
          <w:sz w:val="24"/>
        </w:rPr>
        <w:t>研究</w:t>
      </w:r>
      <w:r>
        <w:rPr>
          <w:rFonts w:hint="eastAsia" w:ascii="宋体" w:hAnsi="宋体" w:cs="宋体"/>
          <w:spacing w:val="-6"/>
          <w:kern w:val="0"/>
          <w:sz w:val="24"/>
        </w:rPr>
        <w:t>与</w:t>
      </w:r>
      <w:r>
        <w:rPr>
          <w:rFonts w:ascii="宋体" w:hAnsi="宋体" w:cs="宋体"/>
          <w:spacing w:val="-6"/>
          <w:kern w:val="0"/>
          <w:sz w:val="24"/>
        </w:rPr>
        <w:t>教学</w:t>
      </w:r>
      <w:r>
        <w:rPr>
          <w:rFonts w:hint="eastAsia" w:ascii="宋体" w:hAnsi="宋体" w:cs="宋体"/>
          <w:spacing w:val="-6"/>
          <w:kern w:val="0"/>
          <w:sz w:val="24"/>
        </w:rPr>
        <w:t>改革</w:t>
      </w:r>
      <w:r>
        <w:rPr>
          <w:rFonts w:ascii="宋体" w:hAnsi="宋体" w:cs="宋体"/>
          <w:spacing w:val="-6"/>
          <w:kern w:val="0"/>
          <w:sz w:val="24"/>
        </w:rPr>
        <w:t>工作，进一步提高教学质量和教学水平，特制订本办法。</w:t>
      </w:r>
    </w:p>
    <w:p>
      <w:pPr>
        <w:widowControl/>
        <w:spacing w:line="360" w:lineRule="auto"/>
        <w:jc w:val="center"/>
        <w:rPr>
          <w:rFonts w:ascii="宋体" w:hAnsi="宋体" w:cs="宋体"/>
          <w:b/>
          <w:spacing w:val="-6"/>
          <w:kern w:val="0"/>
          <w:sz w:val="24"/>
        </w:rPr>
      </w:pPr>
      <w:r>
        <w:rPr>
          <w:rFonts w:ascii="宋体" w:hAnsi="宋体" w:cs="宋体"/>
          <w:b/>
          <w:spacing w:val="-6"/>
          <w:kern w:val="0"/>
          <w:sz w:val="24"/>
        </w:rPr>
        <w:t>第一章 总 则</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第一条 教学优秀奖设一等奖、二等奖、三等奖</w:t>
      </w:r>
      <w:r>
        <w:rPr>
          <w:rFonts w:hint="eastAsia" w:ascii="宋体" w:hAnsi="宋体" w:cs="宋体"/>
          <w:spacing w:val="-6"/>
          <w:kern w:val="0"/>
          <w:sz w:val="24"/>
        </w:rPr>
        <w:t>3</w:t>
      </w:r>
      <w:r>
        <w:rPr>
          <w:rFonts w:ascii="宋体" w:hAnsi="宋体" w:cs="宋体"/>
          <w:spacing w:val="-6"/>
          <w:kern w:val="0"/>
          <w:sz w:val="24"/>
        </w:rPr>
        <w:t>个级别，一等奖、二等奖</w:t>
      </w:r>
      <w:r>
        <w:rPr>
          <w:rFonts w:hint="eastAsia" w:ascii="宋体" w:hAnsi="宋体" w:cs="宋体"/>
          <w:spacing w:val="-6"/>
          <w:kern w:val="0"/>
          <w:sz w:val="24"/>
        </w:rPr>
        <w:t>、</w:t>
      </w:r>
      <w:r>
        <w:rPr>
          <w:rFonts w:ascii="宋体" w:hAnsi="宋体" w:cs="宋体"/>
          <w:spacing w:val="-6"/>
          <w:kern w:val="0"/>
          <w:sz w:val="24"/>
        </w:rPr>
        <w:t>三等奖分别评选</w:t>
      </w:r>
      <w:r>
        <w:rPr>
          <w:rFonts w:hint="eastAsia" w:ascii="宋体" w:hAnsi="宋体" w:cs="宋体"/>
          <w:spacing w:val="-6"/>
          <w:kern w:val="0"/>
          <w:sz w:val="24"/>
        </w:rPr>
        <w:t>3</w:t>
      </w:r>
      <w:r>
        <w:rPr>
          <w:rFonts w:ascii="宋体" w:hAnsi="宋体" w:cs="宋体"/>
          <w:spacing w:val="-6"/>
          <w:kern w:val="0"/>
          <w:sz w:val="24"/>
        </w:rPr>
        <w:t>名、</w:t>
      </w:r>
      <w:r>
        <w:rPr>
          <w:rFonts w:hint="eastAsia" w:ascii="宋体" w:hAnsi="宋体" w:cs="宋体"/>
          <w:spacing w:val="-6"/>
          <w:kern w:val="0"/>
          <w:sz w:val="24"/>
        </w:rPr>
        <w:t>7</w:t>
      </w:r>
      <w:r>
        <w:rPr>
          <w:rFonts w:ascii="宋体" w:hAnsi="宋体" w:cs="宋体"/>
          <w:spacing w:val="-6"/>
          <w:kern w:val="0"/>
          <w:sz w:val="24"/>
        </w:rPr>
        <w:t>名、</w:t>
      </w:r>
      <w:r>
        <w:rPr>
          <w:rFonts w:hint="eastAsia" w:ascii="宋体" w:hAnsi="宋体" w:cs="宋体"/>
          <w:spacing w:val="-6"/>
          <w:kern w:val="0"/>
          <w:sz w:val="24"/>
        </w:rPr>
        <w:t>1</w:t>
      </w:r>
      <w:r>
        <w:rPr>
          <w:rFonts w:ascii="宋体" w:hAnsi="宋体" w:cs="宋体"/>
          <w:spacing w:val="-6"/>
          <w:kern w:val="0"/>
          <w:sz w:val="24"/>
        </w:rPr>
        <w:t>0名。</w:t>
      </w:r>
      <w:r>
        <w:rPr>
          <w:rFonts w:hint="eastAsia" w:ascii="宋体" w:hAnsi="宋体" w:cs="宋体"/>
          <w:spacing w:val="-6"/>
          <w:kern w:val="0"/>
          <w:sz w:val="24"/>
        </w:rPr>
        <w:t xml:space="preserve"> </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第二条</w:t>
      </w:r>
      <w:r>
        <w:rPr>
          <w:rFonts w:hint="eastAsia" w:ascii="宋体" w:hAnsi="宋体" w:cs="宋体"/>
          <w:spacing w:val="-6"/>
          <w:kern w:val="0"/>
          <w:sz w:val="24"/>
        </w:rPr>
        <w:t xml:space="preserve"> </w:t>
      </w:r>
      <w:r>
        <w:rPr>
          <w:rFonts w:ascii="宋体" w:hAnsi="宋体" w:cs="宋体"/>
          <w:spacing w:val="-6"/>
          <w:kern w:val="0"/>
          <w:sz w:val="24"/>
        </w:rPr>
        <w:t>教学优秀奖每年度评选一次，评选坚持公平、公正、公开及质量优先、综合权衡的原则。</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第三条</w:t>
      </w:r>
      <w:r>
        <w:rPr>
          <w:rFonts w:hint="eastAsia" w:ascii="宋体" w:hAnsi="宋体" w:cs="宋体"/>
          <w:spacing w:val="-6"/>
          <w:kern w:val="0"/>
          <w:sz w:val="24"/>
        </w:rPr>
        <w:t xml:space="preserve"> </w:t>
      </w:r>
      <w:r>
        <w:rPr>
          <w:rFonts w:ascii="宋体" w:hAnsi="宋体" w:cs="宋体"/>
          <w:spacing w:val="-6"/>
          <w:kern w:val="0"/>
          <w:sz w:val="24"/>
        </w:rPr>
        <w:t>对于在教学工作中取得显著业绩的教师，可予以破格评选。</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第四条</w:t>
      </w:r>
      <w:r>
        <w:rPr>
          <w:rFonts w:hint="eastAsia" w:ascii="宋体" w:hAnsi="宋体" w:cs="宋体"/>
          <w:spacing w:val="-6"/>
          <w:kern w:val="0"/>
          <w:sz w:val="24"/>
        </w:rPr>
        <w:t xml:space="preserve"> </w:t>
      </w:r>
      <w:r>
        <w:rPr>
          <w:rFonts w:ascii="宋体" w:hAnsi="宋体" w:cs="宋体"/>
          <w:spacing w:val="-6"/>
          <w:kern w:val="0"/>
          <w:sz w:val="24"/>
        </w:rPr>
        <w:t>教学优秀</w:t>
      </w:r>
      <w:r>
        <w:rPr>
          <w:rFonts w:hint="eastAsia" w:ascii="宋体" w:hAnsi="宋体" w:cs="宋体"/>
          <w:spacing w:val="-6"/>
          <w:kern w:val="0"/>
          <w:sz w:val="24"/>
        </w:rPr>
        <w:t>奖</w:t>
      </w:r>
      <w:r>
        <w:rPr>
          <w:rFonts w:ascii="宋体" w:hAnsi="宋体" w:cs="宋体"/>
          <w:spacing w:val="-6"/>
          <w:kern w:val="0"/>
          <w:sz w:val="24"/>
        </w:rPr>
        <w:t>奖金归获奖者个人所有，任何单位或个人不得截留。</w:t>
      </w:r>
    </w:p>
    <w:p>
      <w:pPr>
        <w:widowControl/>
        <w:spacing w:line="360" w:lineRule="auto"/>
        <w:jc w:val="center"/>
        <w:rPr>
          <w:rFonts w:ascii="宋体" w:hAnsi="宋体" w:cs="宋体"/>
          <w:b/>
          <w:spacing w:val="-6"/>
          <w:kern w:val="0"/>
          <w:sz w:val="24"/>
        </w:rPr>
      </w:pPr>
      <w:r>
        <w:rPr>
          <w:rFonts w:ascii="宋体" w:hAnsi="宋体" w:cs="宋体"/>
          <w:b/>
          <w:spacing w:val="-6"/>
          <w:kern w:val="0"/>
          <w:sz w:val="24"/>
        </w:rPr>
        <w:t>第二章</w:t>
      </w:r>
      <w:r>
        <w:rPr>
          <w:rFonts w:hint="eastAsia" w:ascii="宋体" w:hAnsi="宋体" w:cs="宋体"/>
          <w:b/>
          <w:spacing w:val="-6"/>
          <w:kern w:val="0"/>
          <w:sz w:val="24"/>
        </w:rPr>
        <w:t xml:space="preserve">  </w:t>
      </w:r>
      <w:r>
        <w:rPr>
          <w:rFonts w:ascii="宋体" w:hAnsi="宋体" w:cs="宋体"/>
          <w:b/>
          <w:spacing w:val="-6"/>
          <w:kern w:val="0"/>
          <w:sz w:val="24"/>
        </w:rPr>
        <w:t>申</w:t>
      </w:r>
      <w:r>
        <w:rPr>
          <w:rFonts w:hint="eastAsia" w:ascii="宋体" w:hAnsi="宋体" w:cs="宋体"/>
          <w:b/>
          <w:spacing w:val="-6"/>
          <w:kern w:val="0"/>
          <w:sz w:val="24"/>
        </w:rPr>
        <w:t>报</w:t>
      </w:r>
      <w:r>
        <w:rPr>
          <w:rFonts w:ascii="宋体" w:hAnsi="宋体" w:cs="宋体"/>
          <w:b/>
          <w:spacing w:val="-6"/>
          <w:kern w:val="0"/>
          <w:sz w:val="24"/>
        </w:rPr>
        <w:t>资格</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第五条</w:t>
      </w:r>
      <w:r>
        <w:rPr>
          <w:rFonts w:hint="eastAsia" w:ascii="宋体" w:hAnsi="宋体" w:cs="宋体"/>
          <w:spacing w:val="-6"/>
          <w:kern w:val="0"/>
          <w:sz w:val="24"/>
        </w:rPr>
        <w:t xml:space="preserve"> 学校</w:t>
      </w:r>
      <w:r>
        <w:rPr>
          <w:rFonts w:ascii="宋体" w:hAnsi="宋体" w:cs="宋体"/>
          <w:spacing w:val="-6"/>
          <w:kern w:val="0"/>
          <w:sz w:val="24"/>
        </w:rPr>
        <w:t>在编</w:t>
      </w:r>
      <w:r>
        <w:rPr>
          <w:rFonts w:hint="eastAsia" w:ascii="宋体" w:hAnsi="宋体" w:cs="宋体"/>
          <w:spacing w:val="-6"/>
          <w:kern w:val="0"/>
          <w:sz w:val="24"/>
        </w:rPr>
        <w:t>在岗</w:t>
      </w:r>
      <w:r>
        <w:rPr>
          <w:rFonts w:ascii="宋体" w:hAnsi="宋体" w:cs="宋体"/>
          <w:spacing w:val="-6"/>
          <w:kern w:val="0"/>
          <w:sz w:val="24"/>
        </w:rPr>
        <w:t>教师，认真</w:t>
      </w:r>
      <w:r>
        <w:rPr>
          <w:rFonts w:hint="eastAsia" w:ascii="宋体" w:hAnsi="宋体" w:cs="宋体"/>
          <w:spacing w:val="-6"/>
          <w:kern w:val="0"/>
          <w:sz w:val="24"/>
        </w:rPr>
        <w:t>遵守</w:t>
      </w:r>
      <w:r>
        <w:rPr>
          <w:rFonts w:ascii="宋体" w:hAnsi="宋体" w:cs="宋体"/>
          <w:spacing w:val="-6"/>
          <w:kern w:val="0"/>
          <w:sz w:val="24"/>
        </w:rPr>
        <w:t>《</w:t>
      </w:r>
      <w:r>
        <w:rPr>
          <w:rFonts w:hint="eastAsia" w:ascii="宋体" w:hAnsi="宋体" w:cs="宋体"/>
          <w:spacing w:val="-6"/>
          <w:kern w:val="0"/>
          <w:sz w:val="24"/>
        </w:rPr>
        <w:t>内江师范学院</w:t>
      </w:r>
      <w:r>
        <w:rPr>
          <w:rFonts w:ascii="宋体" w:hAnsi="宋体" w:cs="宋体"/>
          <w:spacing w:val="-6"/>
          <w:kern w:val="0"/>
          <w:sz w:val="24"/>
        </w:rPr>
        <w:t>教</w:t>
      </w:r>
      <w:r>
        <w:rPr>
          <w:rFonts w:hint="eastAsia" w:ascii="宋体" w:hAnsi="宋体" w:cs="宋体"/>
          <w:spacing w:val="-6"/>
          <w:kern w:val="0"/>
          <w:sz w:val="24"/>
        </w:rPr>
        <w:t>学</w:t>
      </w:r>
      <w:r>
        <w:rPr>
          <w:rFonts w:ascii="宋体" w:hAnsi="宋体" w:cs="宋体"/>
          <w:spacing w:val="-6"/>
          <w:kern w:val="0"/>
          <w:sz w:val="24"/>
        </w:rPr>
        <w:t>工作</w:t>
      </w:r>
      <w:r>
        <w:rPr>
          <w:rFonts w:hint="eastAsia" w:ascii="宋体" w:hAnsi="宋体" w:cs="宋体"/>
          <w:spacing w:val="-6"/>
          <w:kern w:val="0"/>
          <w:sz w:val="24"/>
        </w:rPr>
        <w:t>规范</w:t>
      </w:r>
      <w:r>
        <w:rPr>
          <w:rFonts w:ascii="宋体" w:hAnsi="宋体" w:cs="宋体"/>
          <w:spacing w:val="-6"/>
          <w:kern w:val="0"/>
          <w:sz w:val="24"/>
        </w:rPr>
        <w:t>》，在评选年度内</w:t>
      </w:r>
      <w:r>
        <w:rPr>
          <w:rFonts w:hint="eastAsia" w:ascii="宋体" w:hAnsi="宋体" w:cs="宋体"/>
          <w:spacing w:val="-6"/>
          <w:kern w:val="0"/>
          <w:sz w:val="24"/>
        </w:rPr>
        <w:t>未发生教学责任事故且年度考核</w:t>
      </w:r>
      <w:r>
        <w:rPr>
          <w:rFonts w:ascii="宋体" w:hAnsi="宋体" w:cs="宋体"/>
          <w:spacing w:val="-6"/>
          <w:kern w:val="0"/>
          <w:sz w:val="24"/>
        </w:rPr>
        <w:t>合格</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第六条</w:t>
      </w:r>
      <w:r>
        <w:rPr>
          <w:rFonts w:hint="eastAsia" w:ascii="宋体" w:hAnsi="宋体" w:cs="宋体"/>
          <w:spacing w:val="-6"/>
          <w:kern w:val="0"/>
          <w:sz w:val="24"/>
        </w:rPr>
        <w:t xml:space="preserve"> </w:t>
      </w:r>
      <w:r>
        <w:rPr>
          <w:rFonts w:ascii="宋体" w:hAnsi="宋体" w:cs="宋体"/>
          <w:spacing w:val="-6"/>
          <w:kern w:val="0"/>
          <w:sz w:val="24"/>
        </w:rPr>
        <w:t>在评选年度内</w:t>
      </w:r>
      <w:r>
        <w:rPr>
          <w:rFonts w:hint="eastAsia" w:ascii="宋体" w:hAnsi="宋体" w:cs="宋体"/>
          <w:spacing w:val="-6"/>
          <w:kern w:val="0"/>
          <w:sz w:val="24"/>
        </w:rPr>
        <w:t>教学工作量不少于200</w:t>
      </w:r>
      <w:r>
        <w:rPr>
          <w:rFonts w:ascii="宋体" w:hAnsi="宋体" w:cs="宋体"/>
          <w:spacing w:val="-6"/>
          <w:kern w:val="0"/>
          <w:sz w:val="24"/>
        </w:rPr>
        <w:t>学时</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第七条 按评审条件提交的送审材料合格，其许可年限及范畴如下：</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sz w:val="24"/>
        </w:rPr>
        <w:t xml:space="preserve">. </w:t>
      </w:r>
      <w:r>
        <w:rPr>
          <w:rFonts w:ascii="宋体" w:hAnsi="宋体" w:cs="宋体"/>
          <w:spacing w:val="-6"/>
          <w:kern w:val="0"/>
          <w:sz w:val="24"/>
        </w:rPr>
        <w:t>教改立项建设项目（含各级各类</w:t>
      </w:r>
      <w:r>
        <w:rPr>
          <w:rFonts w:hint="eastAsia" w:ascii="宋体" w:hAnsi="宋体" w:cs="宋体"/>
          <w:spacing w:val="-6"/>
          <w:kern w:val="0"/>
          <w:sz w:val="24"/>
        </w:rPr>
        <w:t>本科教学</w:t>
      </w:r>
      <w:r>
        <w:rPr>
          <w:rFonts w:ascii="宋体" w:hAnsi="宋体" w:cs="宋体"/>
          <w:spacing w:val="-6"/>
          <w:kern w:val="0"/>
          <w:sz w:val="24"/>
        </w:rPr>
        <w:t>工程项目、教改课题等）应为近年立项的项目（以立项公布时间为准，校级</w:t>
      </w:r>
      <w:r>
        <w:rPr>
          <w:rFonts w:hint="eastAsia" w:ascii="宋体" w:hAnsi="宋体" w:cs="宋体"/>
          <w:spacing w:val="-6"/>
          <w:kern w:val="0"/>
          <w:sz w:val="24"/>
        </w:rPr>
        <w:t>项目为</w:t>
      </w:r>
      <w:r>
        <w:rPr>
          <w:rFonts w:ascii="宋体" w:hAnsi="宋体" w:cs="宋体"/>
          <w:spacing w:val="-6"/>
          <w:kern w:val="0"/>
          <w:sz w:val="24"/>
        </w:rPr>
        <w:t>近</w:t>
      </w:r>
      <w:r>
        <w:rPr>
          <w:rFonts w:hint="eastAsia" w:ascii="宋体" w:hAnsi="宋体" w:cs="宋体"/>
          <w:spacing w:val="-6"/>
          <w:kern w:val="0"/>
          <w:sz w:val="24"/>
        </w:rPr>
        <w:t>两</w:t>
      </w:r>
      <w:r>
        <w:rPr>
          <w:rFonts w:ascii="宋体" w:hAnsi="宋体" w:cs="宋体"/>
          <w:spacing w:val="-6"/>
          <w:kern w:val="0"/>
          <w:sz w:val="24"/>
        </w:rPr>
        <w:t>年，省部级以上</w:t>
      </w:r>
      <w:r>
        <w:rPr>
          <w:rFonts w:hint="eastAsia" w:ascii="宋体" w:hAnsi="宋体" w:cs="宋体"/>
          <w:spacing w:val="-6"/>
          <w:kern w:val="0"/>
          <w:sz w:val="24"/>
        </w:rPr>
        <w:t>项目</w:t>
      </w:r>
      <w:r>
        <w:rPr>
          <w:rFonts w:ascii="宋体" w:hAnsi="宋体" w:cs="宋体"/>
          <w:spacing w:val="-6"/>
          <w:kern w:val="0"/>
          <w:sz w:val="24"/>
        </w:rPr>
        <w:t>为近三年），来源渠道为教育行政管理部门</w:t>
      </w:r>
      <w:r>
        <w:rPr>
          <w:rFonts w:hint="eastAsia" w:ascii="宋体" w:hAnsi="宋体" w:cs="宋体"/>
          <w:spacing w:val="-6"/>
          <w:kern w:val="0"/>
          <w:sz w:val="24"/>
        </w:rPr>
        <w:t>和学校</w:t>
      </w:r>
      <w:r>
        <w:rPr>
          <w:rFonts w:ascii="宋体" w:hAnsi="宋体" w:cs="宋体"/>
          <w:spacing w:val="-6"/>
          <w:kern w:val="0"/>
          <w:sz w:val="24"/>
        </w:rPr>
        <w:t>，并由项目负责人提供申报者本年度实际承担课题的具体任务及完成情况；</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2. </w:t>
      </w:r>
      <w:r>
        <w:rPr>
          <w:rFonts w:ascii="宋体" w:hAnsi="宋体" w:cs="宋体"/>
          <w:spacing w:val="-6"/>
          <w:kern w:val="0"/>
          <w:sz w:val="24"/>
        </w:rPr>
        <w:t>近四年内已正式出版</w:t>
      </w:r>
      <w:r>
        <w:rPr>
          <w:rFonts w:hint="eastAsia" w:ascii="宋体" w:hAnsi="宋体" w:cs="宋体"/>
          <w:spacing w:val="-6"/>
          <w:kern w:val="0"/>
          <w:sz w:val="24"/>
        </w:rPr>
        <w:t>并使用</w:t>
      </w:r>
      <w:r>
        <w:rPr>
          <w:rFonts w:ascii="宋体" w:hAnsi="宋体" w:cs="宋体"/>
          <w:spacing w:val="-6"/>
          <w:kern w:val="0"/>
          <w:sz w:val="24"/>
        </w:rPr>
        <w:t>的教材；</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3. </w:t>
      </w:r>
      <w:r>
        <w:rPr>
          <w:rFonts w:ascii="宋体" w:hAnsi="宋体" w:cs="宋体"/>
          <w:spacing w:val="-6"/>
          <w:kern w:val="0"/>
          <w:sz w:val="24"/>
        </w:rPr>
        <w:t>论文在申报截止日前应已正式刊出；</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4. </w:t>
      </w:r>
      <w:r>
        <w:rPr>
          <w:rFonts w:ascii="宋体" w:hAnsi="宋体" w:cs="宋体"/>
          <w:spacing w:val="-6"/>
          <w:kern w:val="0"/>
          <w:sz w:val="24"/>
        </w:rPr>
        <w:t>上述提及的送审材料仅可作为一次获奖的正式依据，且</w:t>
      </w:r>
      <w:r>
        <w:rPr>
          <w:rFonts w:hint="eastAsia" w:ascii="宋体" w:hAnsi="宋体" w:cs="宋体"/>
          <w:spacing w:val="-6"/>
          <w:kern w:val="0"/>
          <w:sz w:val="24"/>
        </w:rPr>
        <w:t>不能重复使用</w:t>
      </w:r>
      <w:r>
        <w:rPr>
          <w:rFonts w:ascii="宋体" w:hAnsi="宋体" w:cs="宋体"/>
          <w:spacing w:val="-6"/>
          <w:kern w:val="0"/>
          <w:sz w:val="24"/>
        </w:rPr>
        <w:t>。</w:t>
      </w:r>
    </w:p>
    <w:p>
      <w:pPr>
        <w:widowControl/>
        <w:spacing w:line="360" w:lineRule="auto"/>
        <w:jc w:val="center"/>
        <w:rPr>
          <w:rFonts w:ascii="宋体" w:hAnsi="宋体" w:cs="宋体"/>
          <w:b/>
          <w:spacing w:val="-6"/>
          <w:kern w:val="0"/>
          <w:sz w:val="24"/>
        </w:rPr>
      </w:pPr>
      <w:r>
        <w:rPr>
          <w:rFonts w:ascii="宋体" w:hAnsi="宋体" w:cs="宋体"/>
          <w:b/>
          <w:spacing w:val="-6"/>
          <w:kern w:val="0"/>
          <w:sz w:val="24"/>
        </w:rPr>
        <w:t>第三章</w:t>
      </w:r>
      <w:r>
        <w:rPr>
          <w:rFonts w:hint="eastAsia" w:ascii="宋体" w:hAnsi="宋体" w:cs="宋体"/>
          <w:b/>
          <w:spacing w:val="-6"/>
          <w:kern w:val="0"/>
          <w:sz w:val="24"/>
        </w:rPr>
        <w:t xml:space="preserve">  </w:t>
      </w:r>
      <w:r>
        <w:rPr>
          <w:rFonts w:ascii="宋体" w:hAnsi="宋体" w:cs="宋体"/>
          <w:b/>
          <w:spacing w:val="-6"/>
          <w:kern w:val="0"/>
          <w:sz w:val="24"/>
        </w:rPr>
        <w:t>评审条件</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第八条 教学优秀奖评审条件</w:t>
      </w:r>
    </w:p>
    <w:p>
      <w:pPr>
        <w:widowControl/>
        <w:spacing w:line="360" w:lineRule="auto"/>
        <w:ind w:firstLine="456" w:firstLineChars="200"/>
        <w:jc w:val="left"/>
        <w:outlineLvl w:val="0"/>
        <w:rPr>
          <w:rFonts w:ascii="宋体" w:hAnsi="宋体" w:cs="宋体"/>
          <w:spacing w:val="-6"/>
          <w:kern w:val="0"/>
          <w:sz w:val="24"/>
        </w:rPr>
      </w:pPr>
      <w:r>
        <w:rPr>
          <w:rFonts w:ascii="宋体" w:hAnsi="宋体" w:cs="宋体"/>
          <w:spacing w:val="-6"/>
          <w:kern w:val="0"/>
          <w:sz w:val="24"/>
        </w:rPr>
        <w:t>（</w:t>
      </w:r>
      <w:r>
        <w:rPr>
          <w:rFonts w:hint="eastAsia" w:ascii="宋体" w:hAnsi="宋体" w:cs="宋体"/>
          <w:spacing w:val="-6"/>
          <w:kern w:val="0"/>
          <w:sz w:val="24"/>
        </w:rPr>
        <w:t>一</w:t>
      </w:r>
      <w:r>
        <w:rPr>
          <w:rFonts w:ascii="宋体" w:hAnsi="宋体" w:cs="宋体"/>
          <w:spacing w:val="-6"/>
          <w:kern w:val="0"/>
          <w:sz w:val="24"/>
        </w:rPr>
        <w:t>）一等奖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cs="宋体"/>
          <w:spacing w:val="-6"/>
          <w:kern w:val="0"/>
          <w:sz w:val="24"/>
        </w:rPr>
        <w:t xml:space="preserve">. </w:t>
      </w:r>
      <w:r>
        <w:rPr>
          <w:rFonts w:ascii="宋体" w:hAnsi="宋体" w:cs="宋体"/>
          <w:spacing w:val="-6"/>
          <w:kern w:val="0"/>
          <w:sz w:val="24"/>
        </w:rPr>
        <w:t>热爱教育事业，严谨治学，言传身教，教学思想观念先进，教学方法手段创新，教学效果显著；</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2</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专家</w:t>
      </w:r>
      <w:r>
        <w:rPr>
          <w:rFonts w:ascii="宋体" w:hAnsi="宋体" w:cs="宋体"/>
          <w:spacing w:val="-6"/>
          <w:kern w:val="0"/>
          <w:sz w:val="24"/>
        </w:rPr>
        <w:t>听课平均成绩达到优秀，近两年学生</w:t>
      </w:r>
      <w:r>
        <w:rPr>
          <w:rFonts w:hint="eastAsia" w:ascii="宋体" w:hAnsi="宋体" w:cs="宋体"/>
          <w:spacing w:val="-6"/>
          <w:kern w:val="0"/>
          <w:sz w:val="24"/>
        </w:rPr>
        <w:t>网上评教</w:t>
      </w:r>
      <w:r>
        <w:rPr>
          <w:rFonts w:ascii="宋体" w:hAnsi="宋体" w:cs="宋体"/>
          <w:spacing w:val="-6"/>
          <w:kern w:val="0"/>
          <w:sz w:val="24"/>
        </w:rPr>
        <w:t>成绩</w:t>
      </w:r>
      <w:r>
        <w:rPr>
          <w:rFonts w:hint="eastAsia" w:ascii="宋体" w:hAnsi="宋体" w:cs="宋体"/>
          <w:spacing w:val="-6"/>
          <w:kern w:val="0"/>
          <w:sz w:val="24"/>
        </w:rPr>
        <w:t>均</w:t>
      </w:r>
      <w:r>
        <w:rPr>
          <w:rFonts w:ascii="宋体" w:hAnsi="宋体" w:cs="宋体"/>
          <w:spacing w:val="-6"/>
          <w:kern w:val="0"/>
          <w:sz w:val="24"/>
        </w:rPr>
        <w:t>达到</w:t>
      </w:r>
      <w:r>
        <w:rPr>
          <w:rFonts w:hint="eastAsia" w:ascii="宋体" w:hAnsi="宋体" w:cs="宋体"/>
          <w:spacing w:val="-6"/>
          <w:kern w:val="0"/>
          <w:sz w:val="24"/>
        </w:rPr>
        <w:t>95</w:t>
      </w:r>
      <w:r>
        <w:rPr>
          <w:rFonts w:ascii="宋体" w:hAnsi="宋体" w:cs="宋体"/>
          <w:spacing w:val="-6"/>
          <w:kern w:val="0"/>
          <w:sz w:val="24"/>
        </w:rPr>
        <w:t>分；</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3</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公开发表核心</w:t>
      </w:r>
      <w:r>
        <w:rPr>
          <w:rFonts w:ascii="宋体" w:hAnsi="宋体" w:cs="宋体"/>
          <w:spacing w:val="-6"/>
          <w:kern w:val="0"/>
          <w:sz w:val="24"/>
        </w:rPr>
        <w:t>教研论文一篇（第一作者</w:t>
      </w:r>
      <w:r>
        <w:rPr>
          <w:rFonts w:hint="eastAsia" w:ascii="宋体" w:hAnsi="宋体" w:cs="宋体"/>
          <w:spacing w:val="-6"/>
          <w:kern w:val="0"/>
          <w:sz w:val="24"/>
        </w:rPr>
        <w:t>或通讯作者，第一署名单位为内江师范学院</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4</w:t>
      </w:r>
      <w:r>
        <w:rPr>
          <w:rFonts w:hint="eastAsia" w:ascii="宋体" w:hAnsi="宋体" w:cs="宋体"/>
          <w:spacing w:val="-6"/>
          <w:kern w:val="0"/>
          <w:sz w:val="24"/>
        </w:rPr>
        <w:t>. 主持</w:t>
      </w:r>
      <w:r>
        <w:rPr>
          <w:rFonts w:ascii="宋体" w:hAnsi="宋体" w:cs="宋体"/>
          <w:spacing w:val="-6"/>
          <w:kern w:val="0"/>
          <w:sz w:val="24"/>
        </w:rPr>
        <w:t>省级</w:t>
      </w:r>
      <w:r>
        <w:rPr>
          <w:rFonts w:hint="eastAsia" w:ascii="宋体" w:hAnsi="宋体" w:cs="宋体"/>
          <w:spacing w:val="-6"/>
          <w:kern w:val="0"/>
          <w:sz w:val="24"/>
        </w:rPr>
        <w:t>及以上</w:t>
      </w:r>
      <w:r>
        <w:rPr>
          <w:rFonts w:ascii="宋体" w:hAnsi="宋体" w:cs="宋体"/>
          <w:spacing w:val="-6"/>
          <w:kern w:val="0"/>
          <w:sz w:val="24"/>
        </w:rPr>
        <w:t>教</w:t>
      </w:r>
      <w:r>
        <w:rPr>
          <w:rFonts w:hint="eastAsia" w:ascii="宋体" w:hAnsi="宋体" w:cs="宋体"/>
          <w:spacing w:val="-6"/>
          <w:kern w:val="0"/>
          <w:sz w:val="24"/>
        </w:rPr>
        <w:t>学改革研究</w:t>
      </w:r>
      <w:r>
        <w:rPr>
          <w:rFonts w:ascii="宋体" w:hAnsi="宋体" w:cs="宋体"/>
          <w:spacing w:val="-6"/>
          <w:kern w:val="0"/>
          <w:sz w:val="24"/>
        </w:rPr>
        <w:t>项目</w:t>
      </w:r>
      <w:r>
        <w:rPr>
          <w:rFonts w:hint="eastAsia" w:ascii="宋体" w:hAnsi="宋体" w:cs="宋体"/>
          <w:spacing w:val="-6"/>
          <w:kern w:val="0"/>
          <w:sz w:val="24"/>
        </w:rPr>
        <w:t>或</w:t>
      </w:r>
      <w:r>
        <w:rPr>
          <w:rFonts w:ascii="宋体" w:hAnsi="宋体" w:cs="宋体"/>
          <w:spacing w:val="-6"/>
          <w:kern w:val="0"/>
          <w:sz w:val="24"/>
        </w:rPr>
        <w:t>前</w:t>
      </w:r>
      <w:r>
        <w:rPr>
          <w:rFonts w:hint="eastAsia" w:ascii="宋体" w:hAnsi="宋体" w:cs="宋体"/>
          <w:spacing w:val="-6"/>
          <w:kern w:val="0"/>
          <w:sz w:val="24"/>
        </w:rPr>
        <w:t>三</w:t>
      </w:r>
      <w:r>
        <w:rPr>
          <w:rFonts w:ascii="宋体" w:hAnsi="宋体" w:cs="宋体"/>
          <w:spacing w:val="-6"/>
          <w:kern w:val="0"/>
          <w:sz w:val="24"/>
        </w:rPr>
        <w:t>名</w:t>
      </w:r>
      <w:r>
        <w:rPr>
          <w:rFonts w:hint="eastAsia" w:ascii="宋体" w:hAnsi="宋体" w:cs="宋体"/>
          <w:spacing w:val="-6"/>
          <w:kern w:val="0"/>
          <w:sz w:val="24"/>
        </w:rPr>
        <w:t>参研人员</w:t>
      </w:r>
      <w:r>
        <w:rPr>
          <w:rFonts w:ascii="宋体" w:hAnsi="宋体" w:cs="宋体"/>
          <w:spacing w:val="-6"/>
          <w:kern w:val="0"/>
          <w:sz w:val="24"/>
        </w:rPr>
        <w:t>，且项目年度中期</w:t>
      </w:r>
      <w:r>
        <w:rPr>
          <w:rFonts w:hint="eastAsia" w:ascii="宋体" w:hAnsi="宋体" w:cs="宋体"/>
          <w:spacing w:val="-6"/>
          <w:kern w:val="0"/>
          <w:sz w:val="24"/>
        </w:rPr>
        <w:t>检查</w:t>
      </w:r>
      <w:r>
        <w:rPr>
          <w:rFonts w:ascii="宋体" w:hAnsi="宋体" w:cs="宋体"/>
          <w:spacing w:val="-6"/>
          <w:kern w:val="0"/>
          <w:sz w:val="24"/>
        </w:rPr>
        <w:t>或结题</w:t>
      </w:r>
      <w:r>
        <w:rPr>
          <w:rFonts w:hint="eastAsia" w:ascii="宋体" w:hAnsi="宋体" w:cs="宋体"/>
          <w:spacing w:val="-6"/>
          <w:kern w:val="0"/>
          <w:sz w:val="24"/>
        </w:rPr>
        <w:t>验收</w:t>
      </w:r>
      <w:r>
        <w:rPr>
          <w:rFonts w:ascii="宋体" w:hAnsi="宋体" w:cs="宋体"/>
          <w:spacing w:val="-6"/>
          <w:kern w:val="0"/>
          <w:sz w:val="24"/>
        </w:rPr>
        <w:t>为良好</w:t>
      </w:r>
      <w:r>
        <w:rPr>
          <w:rFonts w:hint="eastAsia" w:ascii="宋体" w:hAnsi="宋体" w:cs="宋体"/>
          <w:spacing w:val="-6"/>
          <w:kern w:val="0"/>
          <w:sz w:val="24"/>
        </w:rPr>
        <w:t>及</w:t>
      </w:r>
      <w:r>
        <w:rPr>
          <w:rFonts w:ascii="宋体" w:hAnsi="宋体" w:cs="宋体"/>
          <w:spacing w:val="-6"/>
          <w:kern w:val="0"/>
          <w:sz w:val="24"/>
        </w:rPr>
        <w:t>以上；</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5</w:t>
      </w:r>
      <w:r>
        <w:rPr>
          <w:rFonts w:hint="eastAsia" w:ascii="宋体" w:hAnsi="宋体" w:cs="宋体"/>
          <w:spacing w:val="-6"/>
          <w:kern w:val="0"/>
          <w:sz w:val="24"/>
        </w:rPr>
        <w:t xml:space="preserve">. </w:t>
      </w:r>
      <w:r>
        <w:rPr>
          <w:rFonts w:ascii="宋体" w:hAnsi="宋体" w:cs="宋体"/>
          <w:spacing w:val="-6"/>
          <w:kern w:val="0"/>
          <w:sz w:val="24"/>
        </w:rPr>
        <w:t>近</w:t>
      </w:r>
      <w:r>
        <w:rPr>
          <w:rFonts w:hint="eastAsia" w:ascii="宋体" w:hAnsi="宋体" w:cs="宋体"/>
          <w:spacing w:val="-6"/>
          <w:kern w:val="0"/>
          <w:sz w:val="24"/>
        </w:rPr>
        <w:t>两</w:t>
      </w:r>
      <w:r>
        <w:rPr>
          <w:rFonts w:ascii="宋体" w:hAnsi="宋体" w:cs="宋体"/>
          <w:spacing w:val="-6"/>
          <w:kern w:val="0"/>
          <w:sz w:val="24"/>
        </w:rPr>
        <w:t>年其他教学领域成果较突出，</w:t>
      </w:r>
      <w:r>
        <w:rPr>
          <w:rFonts w:hint="eastAsia" w:ascii="宋体" w:hAnsi="宋体" w:cs="宋体"/>
          <w:spacing w:val="-6"/>
          <w:kern w:val="0"/>
          <w:sz w:val="24"/>
        </w:rPr>
        <w:t>至少</w:t>
      </w:r>
      <w:r>
        <w:rPr>
          <w:rFonts w:ascii="宋体" w:hAnsi="宋体" w:cs="宋体"/>
          <w:spacing w:val="-6"/>
          <w:kern w:val="0"/>
          <w:sz w:val="24"/>
        </w:rPr>
        <w:t>满足第九条</w:t>
      </w:r>
      <w:r>
        <w:rPr>
          <w:rFonts w:hint="eastAsia" w:ascii="宋体" w:hAnsi="宋体" w:cs="宋体"/>
          <w:spacing w:val="-6"/>
          <w:kern w:val="0"/>
          <w:sz w:val="24"/>
        </w:rPr>
        <w:t>中的任意三项</w:t>
      </w:r>
      <w:r>
        <w:rPr>
          <w:rFonts w:ascii="宋体" w:hAnsi="宋体" w:cs="宋体"/>
          <w:spacing w:val="-6"/>
          <w:kern w:val="0"/>
          <w:sz w:val="24"/>
        </w:rPr>
        <w:t>。</w:t>
      </w:r>
    </w:p>
    <w:p>
      <w:pPr>
        <w:widowControl/>
        <w:spacing w:line="360" w:lineRule="auto"/>
        <w:ind w:firstLine="456" w:firstLineChars="200"/>
        <w:jc w:val="left"/>
        <w:outlineLvl w:val="0"/>
        <w:rPr>
          <w:rFonts w:ascii="宋体" w:hAnsi="宋体" w:cs="宋体"/>
          <w:spacing w:val="-6"/>
          <w:kern w:val="0"/>
          <w:sz w:val="24"/>
        </w:rPr>
      </w:pPr>
      <w:r>
        <w:rPr>
          <w:rFonts w:ascii="宋体" w:hAnsi="宋体" w:cs="宋体"/>
          <w:spacing w:val="-6"/>
          <w:kern w:val="0"/>
          <w:sz w:val="24"/>
        </w:rPr>
        <w:t>（</w:t>
      </w:r>
      <w:r>
        <w:rPr>
          <w:rFonts w:hint="eastAsia" w:ascii="宋体" w:hAnsi="宋体" w:cs="宋体"/>
          <w:spacing w:val="-6"/>
          <w:kern w:val="0"/>
          <w:sz w:val="24"/>
        </w:rPr>
        <w:t>二</w:t>
      </w:r>
      <w:r>
        <w:rPr>
          <w:rFonts w:ascii="宋体" w:hAnsi="宋体" w:cs="宋体"/>
          <w:spacing w:val="-6"/>
          <w:kern w:val="0"/>
          <w:sz w:val="24"/>
        </w:rPr>
        <w:t>）二等奖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cs="宋体"/>
          <w:spacing w:val="-6"/>
          <w:kern w:val="0"/>
          <w:sz w:val="24"/>
        </w:rPr>
        <w:t xml:space="preserve">. </w:t>
      </w:r>
      <w:r>
        <w:rPr>
          <w:rFonts w:ascii="宋体" w:hAnsi="宋体" w:cs="宋体"/>
          <w:spacing w:val="-6"/>
          <w:kern w:val="0"/>
          <w:sz w:val="24"/>
        </w:rPr>
        <w:t>热爱教育事业，严谨治学，言传身教，教学思想观念先进，教学方法手段创新，教学效果显著；</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2</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专家</w:t>
      </w:r>
      <w:r>
        <w:rPr>
          <w:rFonts w:ascii="宋体" w:hAnsi="宋体" w:cs="宋体"/>
          <w:spacing w:val="-6"/>
          <w:kern w:val="0"/>
          <w:sz w:val="24"/>
        </w:rPr>
        <w:t>听课平均成绩达到</w:t>
      </w:r>
      <w:r>
        <w:rPr>
          <w:rFonts w:hint="eastAsia" w:ascii="宋体" w:hAnsi="宋体" w:cs="宋体"/>
          <w:spacing w:val="-6"/>
          <w:kern w:val="0"/>
          <w:sz w:val="24"/>
        </w:rPr>
        <w:t>优秀，</w:t>
      </w:r>
      <w:r>
        <w:rPr>
          <w:rFonts w:ascii="宋体" w:hAnsi="宋体" w:cs="宋体"/>
          <w:spacing w:val="-6"/>
          <w:kern w:val="0"/>
          <w:sz w:val="24"/>
        </w:rPr>
        <w:t>学生</w:t>
      </w:r>
      <w:r>
        <w:rPr>
          <w:rFonts w:hint="eastAsia" w:ascii="宋体" w:hAnsi="宋体" w:cs="宋体"/>
          <w:spacing w:val="-6"/>
          <w:kern w:val="0"/>
          <w:sz w:val="24"/>
        </w:rPr>
        <w:t>网上评教</w:t>
      </w:r>
      <w:r>
        <w:rPr>
          <w:rFonts w:ascii="宋体" w:hAnsi="宋体" w:cs="宋体"/>
          <w:spacing w:val="-6"/>
          <w:kern w:val="0"/>
          <w:sz w:val="24"/>
        </w:rPr>
        <w:t>成绩</w:t>
      </w:r>
      <w:r>
        <w:rPr>
          <w:rFonts w:hint="eastAsia" w:ascii="宋体" w:hAnsi="宋体" w:cs="宋体"/>
          <w:spacing w:val="-6"/>
          <w:kern w:val="0"/>
          <w:sz w:val="24"/>
        </w:rPr>
        <w:t>均</w:t>
      </w:r>
      <w:r>
        <w:rPr>
          <w:rFonts w:ascii="宋体" w:hAnsi="宋体" w:cs="宋体"/>
          <w:spacing w:val="-6"/>
          <w:kern w:val="0"/>
          <w:sz w:val="24"/>
        </w:rPr>
        <w:t>达到</w:t>
      </w:r>
      <w:r>
        <w:rPr>
          <w:rFonts w:hint="eastAsia" w:ascii="宋体" w:hAnsi="宋体" w:cs="宋体"/>
          <w:spacing w:val="-6"/>
          <w:kern w:val="0"/>
          <w:sz w:val="24"/>
        </w:rPr>
        <w:t>90</w:t>
      </w:r>
      <w:r>
        <w:rPr>
          <w:rFonts w:ascii="宋体" w:hAnsi="宋体" w:cs="宋体"/>
          <w:spacing w:val="-6"/>
          <w:kern w:val="0"/>
          <w:sz w:val="24"/>
        </w:rPr>
        <w:t>分；</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3</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公开发表</w:t>
      </w:r>
      <w:r>
        <w:rPr>
          <w:rFonts w:ascii="宋体" w:hAnsi="宋体" w:cs="宋体"/>
          <w:spacing w:val="-6"/>
          <w:kern w:val="0"/>
          <w:sz w:val="24"/>
        </w:rPr>
        <w:t>教研论文一篇（第一作者</w:t>
      </w:r>
      <w:r>
        <w:rPr>
          <w:rFonts w:hint="eastAsia" w:ascii="宋体" w:hAnsi="宋体" w:cs="宋体"/>
          <w:spacing w:val="-6"/>
          <w:kern w:val="0"/>
          <w:sz w:val="24"/>
        </w:rPr>
        <w:t>或通讯作者，第一署名单位为内江师范学院</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4</w:t>
      </w:r>
      <w:r>
        <w:rPr>
          <w:rFonts w:hint="eastAsia" w:ascii="宋体" w:hAnsi="宋体" w:cs="宋体"/>
          <w:spacing w:val="-6"/>
          <w:kern w:val="0"/>
          <w:sz w:val="24"/>
        </w:rPr>
        <w:t>. 主持校级及以上</w:t>
      </w:r>
      <w:r>
        <w:rPr>
          <w:rFonts w:ascii="宋体" w:hAnsi="宋体" w:cs="宋体"/>
          <w:spacing w:val="-6"/>
          <w:kern w:val="0"/>
          <w:sz w:val="24"/>
        </w:rPr>
        <w:t>教</w:t>
      </w:r>
      <w:r>
        <w:rPr>
          <w:rFonts w:hint="eastAsia" w:ascii="宋体" w:hAnsi="宋体" w:cs="宋体"/>
          <w:spacing w:val="-6"/>
          <w:kern w:val="0"/>
          <w:sz w:val="24"/>
        </w:rPr>
        <w:t>学改革研究</w:t>
      </w:r>
      <w:r>
        <w:rPr>
          <w:rFonts w:ascii="宋体" w:hAnsi="宋体" w:cs="宋体"/>
          <w:spacing w:val="-6"/>
          <w:kern w:val="0"/>
          <w:sz w:val="24"/>
        </w:rPr>
        <w:t>项目</w:t>
      </w:r>
      <w:r>
        <w:rPr>
          <w:rFonts w:hint="eastAsia" w:ascii="宋体" w:hAnsi="宋体" w:cs="宋体"/>
          <w:spacing w:val="-6"/>
          <w:kern w:val="0"/>
          <w:sz w:val="24"/>
        </w:rPr>
        <w:t>，或省级及以上教学改革研究项目前五</w:t>
      </w:r>
      <w:r>
        <w:rPr>
          <w:rFonts w:ascii="宋体" w:hAnsi="宋体" w:cs="宋体"/>
          <w:spacing w:val="-6"/>
          <w:kern w:val="0"/>
          <w:sz w:val="24"/>
        </w:rPr>
        <w:t>名</w:t>
      </w:r>
      <w:r>
        <w:rPr>
          <w:rFonts w:hint="eastAsia" w:ascii="宋体" w:hAnsi="宋体" w:cs="宋体"/>
          <w:spacing w:val="-6"/>
          <w:kern w:val="0"/>
          <w:sz w:val="24"/>
        </w:rPr>
        <w:t>参研人员</w:t>
      </w:r>
      <w:r>
        <w:rPr>
          <w:rFonts w:ascii="宋体" w:hAnsi="宋体" w:cs="宋体"/>
          <w:spacing w:val="-6"/>
          <w:kern w:val="0"/>
          <w:sz w:val="24"/>
        </w:rPr>
        <w:t>，且项目年度中期</w:t>
      </w:r>
      <w:r>
        <w:rPr>
          <w:rFonts w:hint="eastAsia" w:ascii="宋体" w:hAnsi="宋体" w:cs="宋体"/>
          <w:spacing w:val="-6"/>
          <w:kern w:val="0"/>
          <w:sz w:val="24"/>
        </w:rPr>
        <w:t>检查</w:t>
      </w:r>
      <w:r>
        <w:rPr>
          <w:rFonts w:ascii="宋体" w:hAnsi="宋体" w:cs="宋体"/>
          <w:spacing w:val="-6"/>
          <w:kern w:val="0"/>
          <w:sz w:val="24"/>
        </w:rPr>
        <w:t>或结题</w:t>
      </w:r>
      <w:r>
        <w:rPr>
          <w:rFonts w:hint="eastAsia" w:ascii="宋体" w:hAnsi="宋体" w:cs="宋体"/>
          <w:spacing w:val="-6"/>
          <w:kern w:val="0"/>
          <w:sz w:val="24"/>
        </w:rPr>
        <w:t>验收</w:t>
      </w:r>
      <w:r>
        <w:rPr>
          <w:rFonts w:ascii="宋体" w:hAnsi="宋体" w:cs="宋体"/>
          <w:spacing w:val="-6"/>
          <w:kern w:val="0"/>
          <w:sz w:val="24"/>
        </w:rPr>
        <w:t>为良好</w:t>
      </w:r>
      <w:r>
        <w:rPr>
          <w:rFonts w:hint="eastAsia" w:ascii="宋体" w:hAnsi="宋体" w:cs="宋体"/>
          <w:spacing w:val="-6"/>
          <w:kern w:val="0"/>
          <w:sz w:val="24"/>
        </w:rPr>
        <w:t>及</w:t>
      </w:r>
      <w:r>
        <w:rPr>
          <w:rFonts w:ascii="宋体" w:hAnsi="宋体" w:cs="宋体"/>
          <w:spacing w:val="-6"/>
          <w:kern w:val="0"/>
          <w:sz w:val="24"/>
        </w:rPr>
        <w:t>以上；</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5</w:t>
      </w:r>
      <w:r>
        <w:rPr>
          <w:rFonts w:hint="eastAsia" w:ascii="宋体" w:hAnsi="宋体" w:cs="宋体"/>
          <w:spacing w:val="-6"/>
          <w:kern w:val="0"/>
          <w:sz w:val="24"/>
        </w:rPr>
        <w:t xml:space="preserve">. </w:t>
      </w:r>
      <w:r>
        <w:rPr>
          <w:rFonts w:ascii="宋体" w:hAnsi="宋体" w:cs="宋体"/>
          <w:spacing w:val="-6"/>
          <w:kern w:val="0"/>
          <w:sz w:val="24"/>
        </w:rPr>
        <w:t>近</w:t>
      </w:r>
      <w:r>
        <w:rPr>
          <w:rFonts w:hint="eastAsia" w:ascii="宋体" w:hAnsi="宋体" w:cs="宋体"/>
          <w:spacing w:val="-6"/>
          <w:kern w:val="0"/>
          <w:sz w:val="24"/>
        </w:rPr>
        <w:t>两</w:t>
      </w:r>
      <w:r>
        <w:rPr>
          <w:rFonts w:ascii="宋体" w:hAnsi="宋体" w:cs="宋体"/>
          <w:spacing w:val="-6"/>
          <w:kern w:val="0"/>
          <w:sz w:val="24"/>
        </w:rPr>
        <w:t>年其他教学领域成果较突出，</w:t>
      </w:r>
      <w:r>
        <w:rPr>
          <w:rFonts w:hint="eastAsia" w:ascii="宋体" w:hAnsi="宋体" w:cs="宋体"/>
          <w:spacing w:val="-6"/>
          <w:kern w:val="0"/>
          <w:sz w:val="24"/>
        </w:rPr>
        <w:t>至少</w:t>
      </w:r>
      <w:r>
        <w:rPr>
          <w:rFonts w:ascii="宋体" w:hAnsi="宋体" w:cs="宋体"/>
          <w:spacing w:val="-6"/>
          <w:kern w:val="0"/>
          <w:sz w:val="24"/>
        </w:rPr>
        <w:t>满足第九条</w:t>
      </w:r>
      <w:r>
        <w:rPr>
          <w:rFonts w:hint="eastAsia" w:ascii="宋体" w:hAnsi="宋体" w:cs="宋体"/>
          <w:spacing w:val="-6"/>
          <w:kern w:val="0"/>
          <w:sz w:val="24"/>
        </w:rPr>
        <w:t>中的任意两项</w:t>
      </w:r>
      <w:r>
        <w:rPr>
          <w:rFonts w:ascii="宋体" w:hAnsi="宋体" w:cs="宋体"/>
          <w:spacing w:val="-6"/>
          <w:kern w:val="0"/>
          <w:sz w:val="24"/>
        </w:rPr>
        <w:t>。</w:t>
      </w:r>
    </w:p>
    <w:p>
      <w:pPr>
        <w:widowControl/>
        <w:spacing w:line="360" w:lineRule="auto"/>
        <w:ind w:firstLine="456" w:firstLineChars="200"/>
        <w:jc w:val="left"/>
        <w:outlineLvl w:val="0"/>
        <w:rPr>
          <w:rFonts w:ascii="宋体" w:hAnsi="宋体" w:cs="宋体"/>
          <w:spacing w:val="-6"/>
          <w:kern w:val="0"/>
          <w:sz w:val="24"/>
        </w:rPr>
      </w:pPr>
      <w:r>
        <w:rPr>
          <w:rFonts w:ascii="宋体" w:hAnsi="宋体" w:cs="宋体"/>
          <w:spacing w:val="-6"/>
          <w:kern w:val="0"/>
          <w:sz w:val="24"/>
        </w:rPr>
        <w:t>（</w:t>
      </w:r>
      <w:r>
        <w:rPr>
          <w:rFonts w:hint="eastAsia" w:ascii="宋体" w:hAnsi="宋体" w:cs="宋体"/>
          <w:spacing w:val="-6"/>
          <w:kern w:val="0"/>
          <w:sz w:val="24"/>
        </w:rPr>
        <w:t>三</w:t>
      </w:r>
      <w:r>
        <w:rPr>
          <w:rFonts w:ascii="宋体" w:hAnsi="宋体" w:cs="宋体"/>
          <w:spacing w:val="-6"/>
          <w:kern w:val="0"/>
          <w:sz w:val="24"/>
        </w:rPr>
        <w:t>）三等奖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cs="宋体"/>
          <w:spacing w:val="-6"/>
          <w:kern w:val="0"/>
          <w:sz w:val="24"/>
        </w:rPr>
        <w:t xml:space="preserve">. </w:t>
      </w:r>
      <w:r>
        <w:rPr>
          <w:rFonts w:ascii="宋体" w:hAnsi="宋体" w:cs="宋体"/>
          <w:spacing w:val="-6"/>
          <w:kern w:val="0"/>
          <w:sz w:val="24"/>
        </w:rPr>
        <w:t>热爱教育事业，严谨治学，言传身教，教学思想观念先进，教学方法手段创新，教学效果显著；</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2</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专家</w:t>
      </w:r>
      <w:r>
        <w:rPr>
          <w:rFonts w:ascii="宋体" w:hAnsi="宋体" w:cs="宋体"/>
          <w:spacing w:val="-6"/>
          <w:kern w:val="0"/>
          <w:sz w:val="24"/>
        </w:rPr>
        <w:t>听课平均成绩达到</w:t>
      </w:r>
      <w:r>
        <w:rPr>
          <w:rFonts w:hint="eastAsia" w:ascii="宋体" w:hAnsi="宋体" w:cs="宋体"/>
          <w:spacing w:val="-6"/>
          <w:kern w:val="0"/>
          <w:sz w:val="24"/>
        </w:rPr>
        <w:t>优秀，</w:t>
      </w:r>
      <w:r>
        <w:rPr>
          <w:rFonts w:ascii="宋体" w:hAnsi="宋体" w:cs="宋体"/>
          <w:spacing w:val="-6"/>
          <w:kern w:val="0"/>
          <w:sz w:val="24"/>
        </w:rPr>
        <w:t>学生</w:t>
      </w:r>
      <w:r>
        <w:rPr>
          <w:rFonts w:hint="eastAsia" w:ascii="宋体" w:hAnsi="宋体" w:cs="宋体"/>
          <w:spacing w:val="-6"/>
          <w:kern w:val="0"/>
          <w:sz w:val="24"/>
        </w:rPr>
        <w:t>网上评教</w:t>
      </w:r>
      <w:r>
        <w:rPr>
          <w:rFonts w:ascii="宋体" w:hAnsi="宋体" w:cs="宋体"/>
          <w:spacing w:val="-6"/>
          <w:kern w:val="0"/>
          <w:sz w:val="24"/>
        </w:rPr>
        <w:t>成绩</w:t>
      </w:r>
      <w:r>
        <w:rPr>
          <w:rFonts w:hint="eastAsia" w:ascii="宋体" w:hAnsi="宋体" w:cs="宋体"/>
          <w:spacing w:val="-6"/>
          <w:kern w:val="0"/>
          <w:sz w:val="24"/>
        </w:rPr>
        <w:t>均</w:t>
      </w:r>
      <w:r>
        <w:rPr>
          <w:rFonts w:ascii="宋体" w:hAnsi="宋体" w:cs="宋体"/>
          <w:spacing w:val="-6"/>
          <w:kern w:val="0"/>
          <w:sz w:val="24"/>
        </w:rPr>
        <w:t>达到</w:t>
      </w:r>
      <w:r>
        <w:rPr>
          <w:rFonts w:hint="eastAsia" w:ascii="宋体" w:hAnsi="宋体" w:cs="宋体"/>
          <w:spacing w:val="-6"/>
          <w:kern w:val="0"/>
          <w:sz w:val="24"/>
        </w:rPr>
        <w:t>90</w:t>
      </w:r>
      <w:r>
        <w:rPr>
          <w:rFonts w:ascii="宋体" w:hAnsi="宋体" w:cs="宋体"/>
          <w:spacing w:val="-6"/>
          <w:kern w:val="0"/>
          <w:sz w:val="24"/>
        </w:rPr>
        <w:t>分；</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3</w:t>
      </w:r>
      <w:r>
        <w:rPr>
          <w:rFonts w:hint="eastAsia" w:ascii="宋体" w:hAnsi="宋体" w:cs="宋体"/>
          <w:spacing w:val="-6"/>
          <w:kern w:val="0"/>
          <w:sz w:val="24"/>
        </w:rPr>
        <w:t xml:space="preserve">. </w:t>
      </w:r>
      <w:r>
        <w:rPr>
          <w:rFonts w:ascii="宋体" w:hAnsi="宋体" w:cs="宋体"/>
          <w:spacing w:val="-6"/>
          <w:kern w:val="0"/>
          <w:sz w:val="24"/>
        </w:rPr>
        <w:t>近两年</w:t>
      </w:r>
      <w:r>
        <w:rPr>
          <w:rFonts w:hint="eastAsia" w:ascii="宋体" w:hAnsi="宋体" w:cs="宋体"/>
          <w:spacing w:val="-6"/>
          <w:kern w:val="0"/>
          <w:sz w:val="24"/>
        </w:rPr>
        <w:t>公开</w:t>
      </w:r>
      <w:r>
        <w:rPr>
          <w:rFonts w:ascii="宋体" w:hAnsi="宋体" w:cs="宋体"/>
          <w:spacing w:val="-6"/>
          <w:kern w:val="0"/>
          <w:sz w:val="24"/>
        </w:rPr>
        <w:t>发表教研论文一篇（第一作者</w:t>
      </w:r>
      <w:r>
        <w:rPr>
          <w:rFonts w:hint="eastAsia" w:ascii="宋体" w:hAnsi="宋体" w:cs="宋体"/>
          <w:spacing w:val="-6"/>
          <w:kern w:val="0"/>
          <w:sz w:val="24"/>
        </w:rPr>
        <w:t>或通讯作者，第一署名单位为内江师范学院</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4</w:t>
      </w:r>
      <w:r>
        <w:rPr>
          <w:rFonts w:hint="eastAsia" w:ascii="宋体" w:hAnsi="宋体" w:cs="宋体"/>
          <w:spacing w:val="-6"/>
          <w:kern w:val="0"/>
          <w:sz w:val="24"/>
        </w:rPr>
        <w:t>. 主持或参研教学改革研究</w:t>
      </w:r>
      <w:r>
        <w:rPr>
          <w:rFonts w:ascii="宋体" w:hAnsi="宋体" w:cs="宋体"/>
          <w:spacing w:val="-6"/>
          <w:kern w:val="0"/>
          <w:sz w:val="24"/>
        </w:rPr>
        <w:t>项目，且项目年度中期</w:t>
      </w:r>
      <w:r>
        <w:rPr>
          <w:rFonts w:hint="eastAsia" w:ascii="宋体" w:hAnsi="宋体" w:cs="宋体"/>
          <w:spacing w:val="-6"/>
          <w:kern w:val="0"/>
          <w:sz w:val="24"/>
        </w:rPr>
        <w:t>检查</w:t>
      </w:r>
      <w:r>
        <w:rPr>
          <w:rFonts w:ascii="宋体" w:hAnsi="宋体" w:cs="宋体"/>
          <w:spacing w:val="-6"/>
          <w:kern w:val="0"/>
          <w:sz w:val="24"/>
        </w:rPr>
        <w:t>或结题</w:t>
      </w:r>
      <w:r>
        <w:rPr>
          <w:rFonts w:hint="eastAsia" w:ascii="宋体" w:hAnsi="宋体" w:cs="宋体"/>
          <w:spacing w:val="-6"/>
          <w:kern w:val="0"/>
          <w:sz w:val="24"/>
        </w:rPr>
        <w:t>验收</w:t>
      </w:r>
      <w:r>
        <w:rPr>
          <w:rFonts w:ascii="宋体" w:hAnsi="宋体" w:cs="宋体"/>
          <w:spacing w:val="-6"/>
          <w:kern w:val="0"/>
          <w:sz w:val="24"/>
        </w:rPr>
        <w:t>为良好</w:t>
      </w:r>
      <w:r>
        <w:rPr>
          <w:rFonts w:hint="eastAsia" w:ascii="宋体" w:hAnsi="宋体" w:cs="宋体"/>
          <w:spacing w:val="-6"/>
          <w:kern w:val="0"/>
          <w:sz w:val="24"/>
        </w:rPr>
        <w:t>及</w:t>
      </w:r>
      <w:r>
        <w:rPr>
          <w:rFonts w:ascii="宋体" w:hAnsi="宋体" w:cs="宋体"/>
          <w:spacing w:val="-6"/>
          <w:kern w:val="0"/>
          <w:sz w:val="24"/>
        </w:rPr>
        <w:t>以上</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5</w:t>
      </w:r>
      <w:r>
        <w:rPr>
          <w:rFonts w:hint="eastAsia" w:ascii="宋体" w:hAnsi="宋体" w:cs="宋体"/>
          <w:spacing w:val="-6"/>
          <w:kern w:val="0"/>
          <w:sz w:val="24"/>
        </w:rPr>
        <w:t xml:space="preserve">. </w:t>
      </w:r>
      <w:r>
        <w:rPr>
          <w:rFonts w:ascii="宋体" w:hAnsi="宋体" w:cs="宋体"/>
          <w:spacing w:val="-6"/>
          <w:kern w:val="0"/>
          <w:sz w:val="24"/>
        </w:rPr>
        <w:t>近</w:t>
      </w:r>
      <w:r>
        <w:rPr>
          <w:rFonts w:hint="eastAsia" w:ascii="宋体" w:hAnsi="宋体" w:cs="宋体"/>
          <w:spacing w:val="-6"/>
          <w:kern w:val="0"/>
          <w:sz w:val="24"/>
        </w:rPr>
        <w:t>两</w:t>
      </w:r>
      <w:r>
        <w:rPr>
          <w:rFonts w:ascii="宋体" w:hAnsi="宋体" w:cs="宋体"/>
          <w:spacing w:val="-6"/>
          <w:kern w:val="0"/>
          <w:sz w:val="24"/>
        </w:rPr>
        <w:t>年其他教学领域成果较突出，</w:t>
      </w:r>
      <w:r>
        <w:rPr>
          <w:rFonts w:hint="eastAsia" w:ascii="宋体" w:hAnsi="宋体" w:cs="宋体"/>
          <w:spacing w:val="-6"/>
          <w:kern w:val="0"/>
          <w:sz w:val="24"/>
        </w:rPr>
        <w:t>至少</w:t>
      </w:r>
      <w:r>
        <w:rPr>
          <w:rFonts w:ascii="宋体" w:hAnsi="宋体" w:cs="宋体"/>
          <w:spacing w:val="-6"/>
          <w:kern w:val="0"/>
          <w:sz w:val="24"/>
        </w:rPr>
        <w:t>满足第九条</w:t>
      </w:r>
      <w:r>
        <w:rPr>
          <w:rFonts w:hint="eastAsia" w:ascii="宋体" w:hAnsi="宋体" w:cs="宋体"/>
          <w:spacing w:val="-6"/>
          <w:kern w:val="0"/>
          <w:sz w:val="24"/>
        </w:rPr>
        <w:t>中的任意一项</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第九条 上述提及的“其它教学领域成果较突出”</w:t>
      </w:r>
      <w:r>
        <w:rPr>
          <w:rFonts w:hint="eastAsia" w:ascii="宋体" w:hAnsi="宋体" w:cs="宋体"/>
          <w:spacing w:val="-6"/>
          <w:kern w:val="0"/>
          <w:sz w:val="24"/>
        </w:rPr>
        <w:t>包括</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cs="宋体"/>
          <w:spacing w:val="-6"/>
          <w:kern w:val="0"/>
          <w:sz w:val="24"/>
        </w:rPr>
        <w:t xml:space="preserve">. </w:t>
      </w:r>
      <w:r>
        <w:rPr>
          <w:rFonts w:ascii="宋体" w:hAnsi="宋体" w:cs="宋体"/>
          <w:spacing w:val="-6"/>
          <w:kern w:val="0"/>
          <w:sz w:val="24"/>
        </w:rPr>
        <w:t>致力于教学内容、教学方法、教学手段的改革创新，积极推广应用，学生反馈效果好，并获得教学成果奖；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2</w:t>
      </w:r>
      <w:r>
        <w:rPr>
          <w:rFonts w:hint="eastAsia" w:ascii="宋体" w:hAnsi="宋体" w:cs="宋体"/>
          <w:spacing w:val="-6"/>
          <w:kern w:val="0"/>
          <w:sz w:val="24"/>
        </w:rPr>
        <w:t xml:space="preserve">. </w:t>
      </w:r>
      <w:r>
        <w:rPr>
          <w:rFonts w:ascii="宋体" w:hAnsi="宋体" w:cs="宋体"/>
          <w:spacing w:val="-6"/>
          <w:kern w:val="0"/>
          <w:sz w:val="24"/>
        </w:rPr>
        <w:t>不断积累教学成果，积极编写教材（含</w:t>
      </w:r>
      <w:r>
        <w:rPr>
          <w:rFonts w:hint="eastAsia" w:ascii="宋体" w:hAnsi="宋体" w:cs="宋体"/>
          <w:spacing w:val="-6"/>
          <w:kern w:val="0"/>
          <w:sz w:val="24"/>
        </w:rPr>
        <w:t>实训、</w:t>
      </w:r>
      <w:r>
        <w:rPr>
          <w:rFonts w:ascii="宋体" w:hAnsi="宋体" w:cs="宋体"/>
          <w:spacing w:val="-6"/>
          <w:kern w:val="0"/>
          <w:sz w:val="24"/>
        </w:rPr>
        <w:t>实验教材</w:t>
      </w:r>
      <w:r>
        <w:rPr>
          <w:rFonts w:hint="eastAsia" w:ascii="宋体" w:hAnsi="宋体" w:cs="宋体"/>
          <w:spacing w:val="-6"/>
          <w:kern w:val="0"/>
          <w:sz w:val="24"/>
        </w:rPr>
        <w:t>或指导手册</w:t>
      </w:r>
      <w:r>
        <w:rPr>
          <w:rFonts w:ascii="宋体" w:hAnsi="宋体" w:cs="宋体"/>
          <w:spacing w:val="-6"/>
          <w:kern w:val="0"/>
          <w:sz w:val="24"/>
        </w:rPr>
        <w:t>），正式出版并担任主编或</w:t>
      </w:r>
      <w:r>
        <w:rPr>
          <w:rFonts w:hint="eastAsia" w:ascii="宋体" w:hAnsi="宋体" w:cs="宋体"/>
          <w:spacing w:val="-6"/>
          <w:kern w:val="0"/>
          <w:sz w:val="24"/>
        </w:rPr>
        <w:t>第一</w:t>
      </w:r>
      <w:r>
        <w:rPr>
          <w:rFonts w:ascii="宋体" w:hAnsi="宋体" w:cs="宋体"/>
          <w:spacing w:val="-6"/>
          <w:kern w:val="0"/>
          <w:sz w:val="24"/>
        </w:rPr>
        <w:t>副主编；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3</w:t>
      </w:r>
      <w:r>
        <w:rPr>
          <w:rFonts w:hint="eastAsia" w:ascii="宋体" w:hAnsi="宋体" w:cs="宋体"/>
          <w:spacing w:val="-6"/>
          <w:kern w:val="0"/>
          <w:sz w:val="24"/>
        </w:rPr>
        <w:t xml:space="preserve">. </w:t>
      </w:r>
      <w:r>
        <w:rPr>
          <w:rFonts w:ascii="宋体" w:hAnsi="宋体" w:cs="宋体"/>
          <w:spacing w:val="-6"/>
          <w:kern w:val="0"/>
          <w:sz w:val="24"/>
        </w:rPr>
        <w:t>教材建设成绩显著，获得优秀教材奖；</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4</w:t>
      </w:r>
      <w:r>
        <w:rPr>
          <w:rFonts w:hint="eastAsia" w:ascii="宋体" w:hAnsi="宋体" w:cs="宋体"/>
          <w:spacing w:val="-6"/>
          <w:kern w:val="0"/>
          <w:sz w:val="24"/>
        </w:rPr>
        <w:t>. 参加由教育行政主管部门或政府组织的教学比赛并获奖；</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5. </w:t>
      </w:r>
      <w:r>
        <w:rPr>
          <w:rFonts w:ascii="宋体" w:hAnsi="宋体" w:cs="宋体"/>
          <w:spacing w:val="-6"/>
          <w:kern w:val="0"/>
          <w:sz w:val="24"/>
        </w:rPr>
        <w:t>指导</w:t>
      </w:r>
      <w:r>
        <w:rPr>
          <w:rFonts w:hint="eastAsia" w:ascii="宋体" w:hAnsi="宋体" w:cs="宋体"/>
          <w:spacing w:val="-6"/>
          <w:kern w:val="0"/>
          <w:sz w:val="24"/>
        </w:rPr>
        <w:t>学</w:t>
      </w:r>
      <w:r>
        <w:rPr>
          <w:rFonts w:ascii="宋体" w:hAnsi="宋体" w:cs="宋体"/>
          <w:spacing w:val="-6"/>
          <w:kern w:val="0"/>
          <w:sz w:val="24"/>
        </w:rPr>
        <w:t>生</w:t>
      </w:r>
      <w:r>
        <w:rPr>
          <w:rFonts w:hint="eastAsia" w:ascii="宋体" w:hAnsi="宋体" w:cs="宋体"/>
          <w:spacing w:val="-6"/>
          <w:kern w:val="0"/>
          <w:sz w:val="24"/>
        </w:rPr>
        <w:t>参加</w:t>
      </w:r>
      <w:r>
        <w:rPr>
          <w:rFonts w:ascii="宋体" w:hAnsi="宋体" w:cs="宋体"/>
          <w:spacing w:val="-6"/>
          <w:kern w:val="0"/>
          <w:sz w:val="24"/>
        </w:rPr>
        <w:t>学科竞赛中获得</w:t>
      </w:r>
      <w:r>
        <w:rPr>
          <w:rFonts w:hint="eastAsia" w:ascii="宋体" w:hAnsi="宋体" w:cs="宋体"/>
          <w:spacing w:val="-6"/>
          <w:kern w:val="0"/>
          <w:sz w:val="24"/>
        </w:rPr>
        <w:t>一类</w:t>
      </w:r>
      <w:r>
        <w:rPr>
          <w:rFonts w:ascii="宋体" w:hAnsi="宋体" w:cs="宋体"/>
          <w:spacing w:val="-6"/>
          <w:kern w:val="0"/>
          <w:sz w:val="24"/>
        </w:rPr>
        <w:t>国家级奖或</w:t>
      </w:r>
      <w:r>
        <w:rPr>
          <w:rFonts w:hint="eastAsia" w:ascii="宋体" w:hAnsi="宋体" w:cs="宋体"/>
          <w:spacing w:val="-6"/>
          <w:kern w:val="0"/>
          <w:sz w:val="24"/>
        </w:rPr>
        <w:t>一类</w:t>
      </w:r>
      <w:r>
        <w:rPr>
          <w:rFonts w:ascii="宋体" w:hAnsi="宋体" w:cs="宋体"/>
          <w:spacing w:val="-6"/>
          <w:kern w:val="0"/>
          <w:sz w:val="24"/>
        </w:rPr>
        <w:t>省级二等奖</w:t>
      </w:r>
      <w:r>
        <w:rPr>
          <w:rFonts w:hint="eastAsia" w:ascii="宋体" w:hAnsi="宋体" w:cs="宋体"/>
          <w:spacing w:val="-6"/>
          <w:kern w:val="0"/>
          <w:sz w:val="24"/>
        </w:rPr>
        <w:t>及</w:t>
      </w:r>
      <w:r>
        <w:rPr>
          <w:rFonts w:ascii="宋体" w:hAnsi="宋体" w:cs="宋体"/>
          <w:spacing w:val="-6"/>
          <w:kern w:val="0"/>
          <w:sz w:val="24"/>
        </w:rPr>
        <w:t>以上；</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6. 获得优秀实习指导教师称号；</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7. </w:t>
      </w:r>
      <w:r>
        <w:rPr>
          <w:rFonts w:ascii="宋体" w:hAnsi="宋体" w:cs="宋体"/>
          <w:spacing w:val="-6"/>
          <w:kern w:val="0"/>
          <w:sz w:val="24"/>
        </w:rPr>
        <w:t>指导本科学生毕业论文（设计</w:t>
      </w:r>
      <w:r>
        <w:rPr>
          <w:rFonts w:hint="eastAsia" w:ascii="宋体" w:hAnsi="宋体" w:cs="宋体"/>
          <w:spacing w:val="-6"/>
          <w:kern w:val="0"/>
          <w:sz w:val="24"/>
        </w:rPr>
        <w:t>、创作</w:t>
      </w:r>
      <w:r>
        <w:rPr>
          <w:rFonts w:ascii="宋体" w:hAnsi="宋体" w:cs="宋体"/>
          <w:spacing w:val="-6"/>
          <w:kern w:val="0"/>
          <w:sz w:val="24"/>
        </w:rPr>
        <w:t>）至少有一篇被评为校级优秀毕业</w:t>
      </w:r>
      <w:r>
        <w:rPr>
          <w:rFonts w:hint="eastAsia" w:ascii="宋体" w:hAnsi="宋体" w:cs="宋体"/>
          <w:spacing w:val="-6"/>
          <w:kern w:val="0"/>
          <w:sz w:val="24"/>
        </w:rPr>
        <w:t>论文</w:t>
      </w:r>
      <w:r>
        <w:rPr>
          <w:rFonts w:ascii="宋体" w:hAnsi="宋体" w:cs="宋体"/>
          <w:spacing w:val="-6"/>
          <w:kern w:val="0"/>
          <w:sz w:val="24"/>
        </w:rPr>
        <w:t>（设计</w:t>
      </w:r>
      <w:r>
        <w:rPr>
          <w:rFonts w:hint="eastAsia" w:ascii="宋体" w:hAnsi="宋体" w:cs="宋体"/>
          <w:spacing w:val="-6"/>
          <w:kern w:val="0"/>
          <w:sz w:val="24"/>
        </w:rPr>
        <w:t>、创作</w:t>
      </w:r>
      <w:r>
        <w:rPr>
          <w:rFonts w:ascii="宋体" w:hAnsi="宋体" w:cs="宋体"/>
          <w:spacing w:val="-6"/>
          <w:kern w:val="0"/>
          <w:sz w:val="24"/>
        </w:rPr>
        <w:t>），或指导的</w:t>
      </w:r>
      <w:r>
        <w:rPr>
          <w:rFonts w:hint="eastAsia" w:ascii="宋体" w:hAnsi="宋体" w:cs="宋体"/>
          <w:spacing w:val="-6"/>
          <w:kern w:val="0"/>
          <w:sz w:val="24"/>
        </w:rPr>
        <w:t>本科学生</w:t>
      </w:r>
      <w:r>
        <w:rPr>
          <w:rFonts w:ascii="宋体" w:hAnsi="宋体" w:cs="宋体"/>
          <w:spacing w:val="-6"/>
          <w:kern w:val="0"/>
          <w:sz w:val="24"/>
        </w:rPr>
        <w:t>毕业论文（设计</w:t>
      </w:r>
      <w:r>
        <w:rPr>
          <w:rFonts w:hint="eastAsia" w:ascii="宋体" w:hAnsi="宋体" w:cs="宋体"/>
          <w:spacing w:val="-6"/>
          <w:kern w:val="0"/>
          <w:sz w:val="24"/>
        </w:rPr>
        <w:t>、创作</w:t>
      </w:r>
      <w:r>
        <w:rPr>
          <w:rFonts w:ascii="宋体" w:hAnsi="宋体" w:cs="宋体"/>
          <w:spacing w:val="-6"/>
          <w:kern w:val="0"/>
          <w:sz w:val="24"/>
        </w:rPr>
        <w:t>）</w:t>
      </w:r>
      <w:r>
        <w:rPr>
          <w:rFonts w:hint="eastAsia" w:ascii="宋体" w:hAnsi="宋体" w:cs="宋体"/>
          <w:spacing w:val="-6"/>
          <w:kern w:val="0"/>
          <w:sz w:val="24"/>
        </w:rPr>
        <w:t>公开</w:t>
      </w:r>
      <w:r>
        <w:rPr>
          <w:rFonts w:ascii="宋体" w:hAnsi="宋体" w:cs="宋体"/>
          <w:spacing w:val="-6"/>
          <w:kern w:val="0"/>
          <w:sz w:val="24"/>
        </w:rPr>
        <w:t>发表（学生为第一作者</w:t>
      </w:r>
      <w:r>
        <w:rPr>
          <w:rFonts w:hint="eastAsia" w:ascii="宋体" w:hAnsi="宋体" w:cs="宋体"/>
          <w:spacing w:val="-6"/>
          <w:kern w:val="0"/>
          <w:sz w:val="24"/>
        </w:rPr>
        <w:t>，教师为通讯作者，第一署名单位为内江师范学院</w:t>
      </w:r>
      <w:r>
        <w:rPr>
          <w:rFonts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 xml:space="preserve">8. </w:t>
      </w:r>
      <w:r>
        <w:rPr>
          <w:rFonts w:ascii="宋体" w:hAnsi="宋体" w:cs="宋体"/>
          <w:spacing w:val="-6"/>
          <w:kern w:val="0"/>
          <w:sz w:val="24"/>
        </w:rPr>
        <w:t>指导</w:t>
      </w:r>
      <w:r>
        <w:rPr>
          <w:rFonts w:hint="eastAsia" w:ascii="宋体" w:hAnsi="宋体" w:cs="宋体"/>
          <w:spacing w:val="-6"/>
          <w:kern w:val="0"/>
          <w:sz w:val="24"/>
        </w:rPr>
        <w:t>大</w:t>
      </w:r>
      <w:r>
        <w:rPr>
          <w:rFonts w:ascii="宋体" w:hAnsi="宋体" w:cs="宋体"/>
          <w:spacing w:val="-6"/>
          <w:kern w:val="0"/>
          <w:sz w:val="24"/>
        </w:rPr>
        <w:t>学生科研</w:t>
      </w:r>
      <w:r>
        <w:rPr>
          <w:rFonts w:hint="eastAsia" w:ascii="宋体" w:hAnsi="宋体" w:cs="宋体"/>
          <w:spacing w:val="-6"/>
          <w:kern w:val="0"/>
          <w:sz w:val="24"/>
        </w:rPr>
        <w:t>项目及</w:t>
      </w:r>
      <w:r>
        <w:rPr>
          <w:rFonts w:ascii="宋体" w:hAnsi="宋体" w:cs="宋体"/>
          <w:spacing w:val="-6"/>
          <w:kern w:val="0"/>
          <w:sz w:val="24"/>
        </w:rPr>
        <w:t>创新</w:t>
      </w:r>
      <w:r>
        <w:rPr>
          <w:rFonts w:hint="eastAsia" w:ascii="宋体" w:hAnsi="宋体" w:cs="宋体"/>
          <w:spacing w:val="-6"/>
          <w:kern w:val="0"/>
          <w:sz w:val="24"/>
        </w:rPr>
        <w:t>创业训练计划</w:t>
      </w:r>
      <w:r>
        <w:rPr>
          <w:rFonts w:ascii="宋体" w:hAnsi="宋体" w:cs="宋体"/>
          <w:spacing w:val="-6"/>
          <w:kern w:val="0"/>
          <w:sz w:val="24"/>
        </w:rPr>
        <w:t>项目</w:t>
      </w:r>
      <w:r>
        <w:rPr>
          <w:rFonts w:hint="eastAsia" w:ascii="宋体" w:hAnsi="宋体" w:cs="宋体"/>
          <w:spacing w:val="-6"/>
          <w:kern w:val="0"/>
          <w:sz w:val="24"/>
        </w:rPr>
        <w:t>，</w:t>
      </w:r>
      <w:r>
        <w:rPr>
          <w:rFonts w:ascii="宋体" w:hAnsi="宋体" w:cs="宋体"/>
          <w:spacing w:val="-6"/>
          <w:kern w:val="0"/>
          <w:sz w:val="24"/>
        </w:rPr>
        <w:t>且项目年度中期</w:t>
      </w:r>
      <w:r>
        <w:rPr>
          <w:rFonts w:hint="eastAsia" w:ascii="宋体" w:hAnsi="宋体" w:cs="宋体"/>
          <w:spacing w:val="-6"/>
          <w:kern w:val="0"/>
          <w:sz w:val="24"/>
        </w:rPr>
        <w:t>检查</w:t>
      </w:r>
      <w:r>
        <w:rPr>
          <w:rFonts w:ascii="宋体" w:hAnsi="宋体" w:cs="宋体"/>
          <w:spacing w:val="-6"/>
          <w:kern w:val="0"/>
          <w:sz w:val="24"/>
        </w:rPr>
        <w:t>或结题</w:t>
      </w:r>
      <w:r>
        <w:rPr>
          <w:rFonts w:hint="eastAsia" w:ascii="宋体" w:hAnsi="宋体" w:cs="宋体"/>
          <w:spacing w:val="-6"/>
          <w:kern w:val="0"/>
          <w:sz w:val="24"/>
        </w:rPr>
        <w:t>验收</w:t>
      </w:r>
      <w:r>
        <w:rPr>
          <w:rFonts w:ascii="宋体" w:hAnsi="宋体" w:cs="宋体"/>
          <w:spacing w:val="-6"/>
          <w:kern w:val="0"/>
          <w:sz w:val="24"/>
        </w:rPr>
        <w:t>为良好</w:t>
      </w:r>
      <w:r>
        <w:rPr>
          <w:rFonts w:hint="eastAsia" w:ascii="宋体" w:hAnsi="宋体" w:cs="宋体"/>
          <w:spacing w:val="-6"/>
          <w:kern w:val="0"/>
          <w:sz w:val="24"/>
        </w:rPr>
        <w:t>及</w:t>
      </w:r>
      <w:r>
        <w:rPr>
          <w:rFonts w:ascii="宋体" w:hAnsi="宋体" w:cs="宋体"/>
          <w:spacing w:val="-6"/>
          <w:kern w:val="0"/>
          <w:sz w:val="24"/>
        </w:rPr>
        <w:t>以上</w:t>
      </w:r>
      <w:r>
        <w:rPr>
          <w:rFonts w:hint="eastAsia" w:ascii="宋体" w:hAnsi="宋体" w:cs="宋体"/>
          <w:spacing w:val="-6"/>
          <w:kern w:val="0"/>
          <w:sz w:val="24"/>
        </w:rPr>
        <w:t>。</w:t>
      </w:r>
    </w:p>
    <w:p>
      <w:pPr>
        <w:widowControl/>
        <w:spacing w:line="360" w:lineRule="auto"/>
        <w:ind w:firstLine="458" w:firstLineChars="200"/>
        <w:jc w:val="center"/>
        <w:rPr>
          <w:rFonts w:ascii="宋体" w:hAnsi="宋体" w:cs="宋体"/>
          <w:b/>
          <w:spacing w:val="-6"/>
          <w:kern w:val="0"/>
          <w:sz w:val="24"/>
        </w:rPr>
      </w:pPr>
      <w:r>
        <w:rPr>
          <w:rFonts w:ascii="宋体" w:hAnsi="宋体" w:cs="宋体"/>
          <w:b/>
          <w:spacing w:val="-6"/>
          <w:kern w:val="0"/>
          <w:sz w:val="24"/>
        </w:rPr>
        <w:t>第四章 评选程序</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第十条 评选程序</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1</w:t>
      </w:r>
      <w:r>
        <w:rPr>
          <w:rFonts w:hint="eastAsia" w:ascii="宋体" w:hAnsi="宋体" w:cs="宋体"/>
          <w:spacing w:val="-6"/>
          <w:kern w:val="0"/>
          <w:sz w:val="24"/>
        </w:rPr>
        <w:t>. 自愿</w:t>
      </w:r>
      <w:r>
        <w:rPr>
          <w:rFonts w:ascii="宋体" w:hAnsi="宋体" w:cs="宋体"/>
          <w:spacing w:val="-6"/>
          <w:kern w:val="0"/>
          <w:sz w:val="24"/>
        </w:rPr>
        <w:t>申请</w:t>
      </w:r>
      <w:r>
        <w:rPr>
          <w:rFonts w:hint="eastAsia" w:ascii="宋体" w:hAnsi="宋体" w:cs="宋体"/>
          <w:spacing w:val="-6"/>
          <w:kern w:val="0"/>
          <w:sz w:val="24"/>
        </w:rPr>
        <w:t>（每人每年限报1项）；</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2. 教学单位</w:t>
      </w:r>
      <w:r>
        <w:rPr>
          <w:rFonts w:ascii="宋体" w:hAnsi="宋体" w:cs="宋体"/>
          <w:spacing w:val="-6"/>
          <w:kern w:val="0"/>
          <w:sz w:val="24"/>
        </w:rPr>
        <w:t>在认真审核材料真实性和对照评审条件的基础上，明确推荐意见</w:t>
      </w:r>
      <w:r>
        <w:rPr>
          <w:rFonts w:hint="eastAsia" w:ascii="宋体" w:hAnsi="宋体" w:cs="宋体"/>
          <w:spacing w:val="-6"/>
          <w:kern w:val="0"/>
          <w:sz w:val="24"/>
        </w:rPr>
        <w:t>，上报学校评审办公室；</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3. 学校评审办公室组织</w:t>
      </w:r>
      <w:r>
        <w:rPr>
          <w:rFonts w:ascii="宋体" w:hAnsi="宋体" w:cs="宋体"/>
          <w:spacing w:val="-6"/>
          <w:kern w:val="0"/>
          <w:sz w:val="24"/>
        </w:rPr>
        <w:t>专家对上报材料进行审核，</w:t>
      </w:r>
      <w:r>
        <w:rPr>
          <w:rFonts w:hint="eastAsia" w:ascii="宋体" w:hAnsi="宋体" w:cs="宋体"/>
          <w:spacing w:val="-6"/>
          <w:kern w:val="0"/>
          <w:sz w:val="24"/>
        </w:rPr>
        <w:t>并根据评审指标推荐获奖</w:t>
      </w:r>
      <w:r>
        <w:rPr>
          <w:rFonts w:ascii="宋体" w:hAnsi="宋体" w:cs="宋体"/>
          <w:spacing w:val="-6"/>
          <w:kern w:val="0"/>
          <w:sz w:val="24"/>
        </w:rPr>
        <w:t>名单，报</w:t>
      </w:r>
      <w:r>
        <w:rPr>
          <w:rFonts w:hint="eastAsia" w:ascii="宋体" w:hAnsi="宋体" w:cs="宋体"/>
          <w:spacing w:val="-6"/>
          <w:kern w:val="0"/>
          <w:sz w:val="24"/>
        </w:rPr>
        <w:t>学校审定并</w:t>
      </w:r>
      <w:r>
        <w:rPr>
          <w:rFonts w:ascii="宋体" w:hAnsi="宋体" w:cs="宋体"/>
          <w:spacing w:val="-6"/>
          <w:kern w:val="0"/>
          <w:sz w:val="24"/>
        </w:rPr>
        <w:t>公示</w:t>
      </w:r>
      <w:r>
        <w:rPr>
          <w:rFonts w:hint="eastAsia" w:ascii="宋体" w:hAnsi="宋体" w:cs="宋体"/>
          <w:spacing w:val="-6"/>
          <w:kern w:val="0"/>
          <w:sz w:val="24"/>
        </w:rPr>
        <w:t>获奖</w:t>
      </w:r>
      <w:r>
        <w:rPr>
          <w:rFonts w:ascii="宋体" w:hAnsi="宋体" w:cs="宋体"/>
          <w:spacing w:val="-6"/>
          <w:kern w:val="0"/>
          <w:sz w:val="24"/>
        </w:rPr>
        <w:t>名单</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4. 如有</w:t>
      </w:r>
      <w:r>
        <w:rPr>
          <w:rFonts w:ascii="宋体" w:hAnsi="宋体" w:cs="宋体"/>
          <w:spacing w:val="-6"/>
          <w:kern w:val="0"/>
          <w:sz w:val="24"/>
        </w:rPr>
        <w:t>异议</w:t>
      </w:r>
      <w:r>
        <w:rPr>
          <w:rFonts w:hint="eastAsia" w:ascii="宋体" w:hAnsi="宋体" w:cs="宋体"/>
          <w:spacing w:val="-6"/>
          <w:kern w:val="0"/>
          <w:sz w:val="24"/>
        </w:rPr>
        <w:t>，学校评审办公室</w:t>
      </w:r>
      <w:r>
        <w:rPr>
          <w:rFonts w:ascii="宋体" w:hAnsi="宋体" w:cs="宋体"/>
          <w:spacing w:val="-6"/>
          <w:kern w:val="0"/>
          <w:sz w:val="24"/>
        </w:rPr>
        <w:t>负责协调处理</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b/>
          <w:spacing w:val="-6"/>
          <w:kern w:val="0"/>
          <w:sz w:val="24"/>
        </w:rPr>
      </w:pPr>
      <w:r>
        <w:rPr>
          <w:rFonts w:ascii="宋体" w:hAnsi="宋体" w:cs="宋体"/>
          <w:spacing w:val="-6"/>
          <w:kern w:val="0"/>
          <w:sz w:val="24"/>
        </w:rPr>
        <w:t>第十</w:t>
      </w:r>
      <w:r>
        <w:rPr>
          <w:rFonts w:hint="eastAsia" w:ascii="宋体" w:hAnsi="宋体" w:cs="宋体"/>
          <w:spacing w:val="-6"/>
          <w:kern w:val="0"/>
          <w:sz w:val="24"/>
        </w:rPr>
        <w:t>一</w:t>
      </w:r>
      <w:r>
        <w:rPr>
          <w:rFonts w:ascii="宋体" w:hAnsi="宋体" w:cs="宋体"/>
          <w:spacing w:val="-6"/>
          <w:kern w:val="0"/>
          <w:sz w:val="24"/>
        </w:rPr>
        <w:t>条 评选要切实保证质量，严格依照本办法有关规定进行，发现弄虚作假者，取消</w:t>
      </w:r>
      <w:r>
        <w:rPr>
          <w:rFonts w:hint="eastAsia" w:ascii="宋体" w:hAnsi="宋体" w:cs="宋体"/>
          <w:spacing w:val="-6"/>
          <w:kern w:val="0"/>
          <w:sz w:val="24"/>
        </w:rPr>
        <w:t>申报者</w:t>
      </w:r>
      <w:r>
        <w:rPr>
          <w:rFonts w:ascii="宋体" w:hAnsi="宋体" w:cs="宋体"/>
          <w:spacing w:val="-6"/>
          <w:kern w:val="0"/>
          <w:sz w:val="24"/>
        </w:rPr>
        <w:t>参评资格</w:t>
      </w:r>
      <w:r>
        <w:rPr>
          <w:rFonts w:hint="eastAsia" w:ascii="宋体" w:hAnsi="宋体" w:cs="宋体"/>
          <w:spacing w:val="-6"/>
          <w:kern w:val="0"/>
          <w:sz w:val="24"/>
        </w:rPr>
        <w:t>；</w:t>
      </w:r>
      <w:r>
        <w:rPr>
          <w:rFonts w:ascii="宋体" w:hAnsi="宋体" w:cs="宋体"/>
          <w:spacing w:val="-6"/>
          <w:kern w:val="0"/>
          <w:sz w:val="24"/>
        </w:rPr>
        <w:t>对已评上的</w:t>
      </w:r>
      <w:r>
        <w:rPr>
          <w:rFonts w:hint="eastAsia" w:ascii="宋体" w:hAnsi="宋体" w:cs="宋体"/>
          <w:spacing w:val="-6"/>
          <w:kern w:val="0"/>
          <w:sz w:val="24"/>
        </w:rPr>
        <w:t>撤销</w:t>
      </w:r>
      <w:r>
        <w:rPr>
          <w:rFonts w:ascii="宋体" w:hAnsi="宋体" w:cs="宋体"/>
          <w:spacing w:val="-6"/>
          <w:kern w:val="0"/>
          <w:sz w:val="24"/>
        </w:rPr>
        <w:t>奖励，在全校范围内予以</w:t>
      </w:r>
      <w:r>
        <w:rPr>
          <w:rFonts w:hint="eastAsia" w:ascii="宋体" w:hAnsi="宋体" w:cs="宋体"/>
          <w:spacing w:val="-6"/>
          <w:kern w:val="0"/>
          <w:sz w:val="24"/>
        </w:rPr>
        <w:t>通报</w:t>
      </w:r>
      <w:r>
        <w:rPr>
          <w:rFonts w:ascii="宋体" w:hAnsi="宋体" w:cs="宋体"/>
          <w:spacing w:val="-6"/>
          <w:kern w:val="0"/>
          <w:sz w:val="24"/>
        </w:rPr>
        <w:t>，</w:t>
      </w:r>
      <w:r>
        <w:rPr>
          <w:rFonts w:hint="eastAsia" w:ascii="宋体" w:hAnsi="宋体" w:cs="宋体"/>
          <w:spacing w:val="-6"/>
          <w:kern w:val="0"/>
          <w:sz w:val="24"/>
        </w:rPr>
        <w:t>申报者三年之内不得申报教学优秀奖，</w:t>
      </w:r>
      <w:r>
        <w:rPr>
          <w:rFonts w:ascii="宋体" w:hAnsi="宋体" w:cs="宋体"/>
          <w:spacing w:val="-6"/>
          <w:kern w:val="0"/>
          <w:sz w:val="24"/>
        </w:rPr>
        <w:t>并追究有关人员</w:t>
      </w:r>
      <w:r>
        <w:rPr>
          <w:rFonts w:hint="eastAsia" w:ascii="宋体" w:hAnsi="宋体" w:cs="宋体"/>
          <w:spacing w:val="-6"/>
          <w:kern w:val="0"/>
          <w:sz w:val="24"/>
        </w:rPr>
        <w:t>的</w:t>
      </w:r>
      <w:r>
        <w:rPr>
          <w:rFonts w:ascii="宋体" w:hAnsi="宋体" w:cs="宋体"/>
          <w:spacing w:val="-6"/>
          <w:kern w:val="0"/>
          <w:sz w:val="24"/>
        </w:rPr>
        <w:t>责任</w:t>
      </w:r>
      <w:r>
        <w:rPr>
          <w:rFonts w:hint="eastAsia" w:ascii="宋体" w:hAnsi="宋体" w:cs="宋体"/>
          <w:spacing w:val="-6"/>
          <w:kern w:val="0"/>
          <w:sz w:val="24"/>
        </w:rPr>
        <w:t>。</w:t>
      </w:r>
    </w:p>
    <w:p>
      <w:pPr>
        <w:widowControl/>
        <w:spacing w:line="360" w:lineRule="auto"/>
        <w:jc w:val="center"/>
        <w:rPr>
          <w:rFonts w:ascii="宋体" w:hAnsi="宋体" w:cs="宋体"/>
          <w:b/>
          <w:spacing w:val="-6"/>
          <w:kern w:val="0"/>
          <w:sz w:val="24"/>
        </w:rPr>
      </w:pPr>
      <w:r>
        <w:rPr>
          <w:rFonts w:ascii="宋体" w:hAnsi="宋体" w:cs="宋体"/>
          <w:b/>
          <w:spacing w:val="-6"/>
          <w:kern w:val="0"/>
          <w:sz w:val="24"/>
        </w:rPr>
        <w:t>第五章 奖励办法</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第十</w:t>
      </w:r>
      <w:r>
        <w:rPr>
          <w:rFonts w:hint="eastAsia" w:ascii="宋体" w:hAnsi="宋体" w:cs="宋体"/>
          <w:spacing w:val="-6"/>
          <w:kern w:val="0"/>
          <w:sz w:val="24"/>
        </w:rPr>
        <w:t>二</w:t>
      </w:r>
      <w:r>
        <w:rPr>
          <w:rFonts w:ascii="宋体" w:hAnsi="宋体" w:cs="宋体"/>
          <w:spacing w:val="-6"/>
          <w:kern w:val="0"/>
          <w:sz w:val="24"/>
        </w:rPr>
        <w:t>条 学校向获奖者颁发获奖证书及奖金，获奖材料存入教师业务档案；获得教学优秀奖</w:t>
      </w:r>
      <w:r>
        <w:rPr>
          <w:rFonts w:hint="eastAsia" w:ascii="宋体" w:hAnsi="宋体" w:cs="宋体"/>
          <w:spacing w:val="-6"/>
          <w:kern w:val="0"/>
          <w:sz w:val="24"/>
        </w:rPr>
        <w:t>可</w:t>
      </w:r>
      <w:r>
        <w:rPr>
          <w:rFonts w:ascii="宋体" w:hAnsi="宋体" w:cs="宋体"/>
          <w:spacing w:val="-6"/>
          <w:kern w:val="0"/>
          <w:sz w:val="24"/>
        </w:rPr>
        <w:t>作为评定职称、晋级增薪及选派进修的重要依据。</w:t>
      </w:r>
    </w:p>
    <w:p>
      <w:pPr>
        <w:widowControl/>
        <w:spacing w:line="360" w:lineRule="auto"/>
        <w:jc w:val="center"/>
        <w:rPr>
          <w:rFonts w:ascii="宋体" w:hAnsi="宋体" w:cs="宋体"/>
          <w:b/>
          <w:spacing w:val="-6"/>
          <w:kern w:val="0"/>
          <w:sz w:val="24"/>
        </w:rPr>
      </w:pPr>
      <w:r>
        <w:rPr>
          <w:rFonts w:ascii="宋体" w:hAnsi="宋体" w:cs="宋体"/>
          <w:b/>
          <w:spacing w:val="-6"/>
          <w:kern w:val="0"/>
          <w:sz w:val="24"/>
        </w:rPr>
        <w:t>第六章 附 则</w:t>
      </w:r>
    </w:p>
    <w:p>
      <w:pPr>
        <w:widowControl/>
        <w:spacing w:line="360" w:lineRule="auto"/>
        <w:ind w:firstLine="456" w:firstLineChars="200"/>
        <w:jc w:val="left"/>
        <w:rPr>
          <w:rFonts w:ascii="宋体" w:hAnsi="宋体" w:cs="宋体"/>
          <w:spacing w:val="-6"/>
          <w:kern w:val="0"/>
          <w:sz w:val="24"/>
        </w:rPr>
      </w:pPr>
      <w:r>
        <w:rPr>
          <w:rFonts w:hint="eastAsia" w:ascii="宋体" w:hAnsi="宋体" w:cs="宋体"/>
          <w:spacing w:val="-6"/>
          <w:kern w:val="0"/>
          <w:sz w:val="24"/>
        </w:rPr>
        <w:t>第十三条 学校评审办公室</w:t>
      </w:r>
      <w:r>
        <w:rPr>
          <w:rFonts w:ascii="宋体" w:hAnsi="宋体" w:cs="宋体"/>
          <w:spacing w:val="-6"/>
          <w:kern w:val="0"/>
          <w:sz w:val="24"/>
        </w:rPr>
        <w:t>负责组织教学优秀奖评选工作</w:t>
      </w:r>
      <w:r>
        <w:rPr>
          <w:rFonts w:hint="eastAsia" w:ascii="宋体" w:hAnsi="宋体" w:cs="宋体"/>
          <w:spacing w:val="-6"/>
          <w:kern w:val="0"/>
          <w:sz w:val="24"/>
        </w:rPr>
        <w:t>。</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第十</w:t>
      </w:r>
      <w:r>
        <w:rPr>
          <w:rFonts w:hint="eastAsia" w:ascii="宋体" w:hAnsi="宋体" w:cs="宋体"/>
          <w:spacing w:val="-6"/>
          <w:kern w:val="0"/>
          <w:sz w:val="24"/>
        </w:rPr>
        <w:t>四</w:t>
      </w:r>
      <w:r>
        <w:rPr>
          <w:rFonts w:ascii="宋体" w:hAnsi="宋体" w:cs="宋体"/>
          <w:spacing w:val="-6"/>
          <w:kern w:val="0"/>
          <w:sz w:val="24"/>
        </w:rPr>
        <w:t>条</w:t>
      </w:r>
      <w:r>
        <w:rPr>
          <w:rFonts w:hint="eastAsia" w:ascii="宋体" w:hAnsi="宋体" w:cs="宋体"/>
          <w:spacing w:val="-6"/>
          <w:kern w:val="0"/>
          <w:sz w:val="24"/>
        </w:rPr>
        <w:t xml:space="preserve"> 本办法由学校教务处负责解释。</w:t>
      </w:r>
    </w:p>
    <w:p>
      <w:pPr>
        <w:widowControl/>
        <w:spacing w:line="360" w:lineRule="auto"/>
        <w:ind w:firstLine="456" w:firstLineChars="200"/>
        <w:jc w:val="left"/>
        <w:rPr>
          <w:rFonts w:ascii="宋体" w:hAnsi="宋体" w:cs="宋体"/>
          <w:spacing w:val="-6"/>
          <w:kern w:val="0"/>
          <w:sz w:val="24"/>
        </w:rPr>
      </w:pPr>
      <w:r>
        <w:rPr>
          <w:rFonts w:ascii="宋体" w:hAnsi="宋体" w:cs="宋体"/>
          <w:spacing w:val="-6"/>
          <w:kern w:val="0"/>
          <w:sz w:val="24"/>
        </w:rPr>
        <w:t>第十</w:t>
      </w:r>
      <w:r>
        <w:rPr>
          <w:rFonts w:hint="eastAsia" w:ascii="宋体" w:hAnsi="宋体" w:cs="宋体"/>
          <w:spacing w:val="-6"/>
          <w:kern w:val="0"/>
          <w:sz w:val="24"/>
        </w:rPr>
        <w:t>五</w:t>
      </w:r>
      <w:r>
        <w:rPr>
          <w:rFonts w:ascii="宋体" w:hAnsi="宋体" w:cs="宋体"/>
          <w:spacing w:val="-6"/>
          <w:kern w:val="0"/>
          <w:sz w:val="24"/>
        </w:rPr>
        <w:t>条 本办法自</w:t>
      </w:r>
      <w:r>
        <w:rPr>
          <w:rFonts w:hint="eastAsia" w:ascii="宋体" w:hAnsi="宋体" w:cs="宋体"/>
          <w:spacing w:val="-6"/>
          <w:kern w:val="0"/>
          <w:sz w:val="24"/>
        </w:rPr>
        <w:t>二〇一五年一月一日</w:t>
      </w:r>
      <w:r>
        <w:rPr>
          <w:rFonts w:ascii="宋体" w:hAnsi="宋体" w:cs="宋体"/>
          <w:spacing w:val="-6"/>
          <w:kern w:val="0"/>
          <w:sz w:val="24"/>
        </w:rPr>
        <w:t>起执行</w:t>
      </w:r>
      <w:r>
        <w:rPr>
          <w:rFonts w:hint="eastAsia" w:ascii="宋体" w:hAnsi="宋体" w:cs="宋体"/>
          <w:spacing w:val="-6"/>
          <w:kern w:val="0"/>
          <w:sz w:val="24"/>
        </w:rPr>
        <w:t>。</w:t>
      </w:r>
    </w:p>
    <w:p>
      <w:pPr>
        <w:spacing w:line="360" w:lineRule="auto"/>
        <w:rPr>
          <w:rFonts w:ascii="宋体" w:hAnsi="宋体"/>
          <w:sz w:val="24"/>
        </w:rPr>
      </w:pPr>
      <w:r>
        <w:rPr>
          <w:rFonts w:hint="eastAsia"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 xml:space="preserve"> 附件：内江师范学院教学优秀奖评选指标</w:t>
      </w:r>
    </w:p>
    <w:p>
      <w:pPr>
        <w:spacing w:line="360" w:lineRule="auto"/>
        <w:ind w:right="480"/>
        <w:jc w:val="right"/>
        <w:rPr>
          <w:rFonts w:ascii="宋体" w:hAnsi="宋体"/>
          <w:sz w:val="24"/>
        </w:rPr>
      </w:pPr>
      <w:r>
        <w:rPr>
          <w:rFonts w:hint="eastAsia" w:ascii="宋体" w:hAnsi="宋体"/>
          <w:sz w:val="24"/>
        </w:rPr>
        <w:t>2015年4月8日</w:t>
      </w:r>
    </w:p>
    <w:p>
      <w:pPr>
        <w:widowControl/>
        <w:spacing w:line="520" w:lineRule="exact"/>
        <w:jc w:val="center"/>
        <w:rPr>
          <w:rFonts w:ascii="宋体" w:hAnsi="宋体"/>
          <w:b/>
          <w:sz w:val="32"/>
          <w:szCs w:val="32"/>
        </w:rPr>
      </w:pPr>
      <w:r>
        <w:rPr>
          <w:rFonts w:ascii="宋体" w:hAnsi="宋体"/>
          <w:sz w:val="24"/>
        </w:rPr>
        <w:br w:type="page"/>
      </w:r>
      <w:r>
        <w:rPr>
          <w:rFonts w:hint="eastAsia" w:ascii="宋体" w:hAnsi="宋体"/>
          <w:b/>
          <w:sz w:val="32"/>
          <w:szCs w:val="32"/>
        </w:rPr>
        <w:t>内江师范学院</w:t>
      </w:r>
      <w:r>
        <w:rPr>
          <w:rFonts w:ascii="宋体" w:hAnsi="宋体"/>
          <w:b/>
          <w:sz w:val="32"/>
          <w:szCs w:val="32"/>
        </w:rPr>
        <w:t>教学优秀奖评选</w:t>
      </w:r>
      <w:r>
        <w:rPr>
          <w:rFonts w:hint="eastAsia" w:ascii="宋体" w:hAnsi="宋体"/>
          <w:b/>
          <w:sz w:val="32"/>
          <w:szCs w:val="32"/>
        </w:rPr>
        <w:t>指标</w:t>
      </w:r>
    </w:p>
    <w:tbl>
      <w:tblPr>
        <w:tblStyle w:val="15"/>
        <w:tblpPr w:leftFromText="182" w:rightFromText="182" w:vertAnchor="page" w:horzAnchor="margin" w:tblpXSpec="center" w:tblpY="198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58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01" w:type="dxa"/>
            <w:vAlign w:val="center"/>
          </w:tcPr>
          <w:p>
            <w:pPr>
              <w:jc w:val="center"/>
              <w:rPr>
                <w:rFonts w:ascii="宋体" w:hAnsi="宋体"/>
                <w:b/>
                <w:szCs w:val="21"/>
              </w:rPr>
            </w:pPr>
            <w:r>
              <w:rPr>
                <w:rFonts w:ascii="宋体" w:hAnsi="宋体"/>
                <w:b/>
                <w:szCs w:val="21"/>
              </w:rPr>
              <w:t>一级指标</w:t>
            </w:r>
          </w:p>
        </w:tc>
        <w:tc>
          <w:tcPr>
            <w:tcW w:w="1275" w:type="dxa"/>
            <w:vAlign w:val="center"/>
          </w:tcPr>
          <w:p>
            <w:pPr>
              <w:jc w:val="center"/>
              <w:rPr>
                <w:b/>
                <w:szCs w:val="21"/>
              </w:rPr>
            </w:pPr>
            <w:r>
              <w:rPr>
                <w:rFonts w:ascii="宋体" w:hAnsi="宋体"/>
                <w:b/>
                <w:szCs w:val="21"/>
              </w:rPr>
              <w:t>二级指标</w:t>
            </w:r>
          </w:p>
        </w:tc>
        <w:tc>
          <w:tcPr>
            <w:tcW w:w="5812" w:type="dxa"/>
            <w:vAlign w:val="center"/>
          </w:tcPr>
          <w:p>
            <w:pPr>
              <w:jc w:val="center"/>
              <w:rPr>
                <w:b/>
                <w:szCs w:val="21"/>
              </w:rPr>
            </w:pPr>
            <w:r>
              <w:rPr>
                <w:rFonts w:hint="eastAsia" w:ascii="宋体" w:hAnsi="宋体"/>
                <w:b/>
                <w:szCs w:val="21"/>
              </w:rPr>
              <w:t>主要观测点</w:t>
            </w:r>
          </w:p>
        </w:tc>
        <w:tc>
          <w:tcPr>
            <w:tcW w:w="992" w:type="dxa"/>
            <w:vAlign w:val="center"/>
          </w:tcPr>
          <w:p>
            <w:pPr>
              <w:jc w:val="center"/>
              <w:rPr>
                <w:b/>
                <w:szCs w:val="21"/>
              </w:rPr>
            </w:pPr>
            <w:r>
              <w:rPr>
                <w:rFonts w:hint="eastAsia"/>
                <w:b/>
                <w:szCs w:val="21"/>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ascii="宋体" w:hAnsi="宋体"/>
                <w:szCs w:val="21"/>
              </w:rPr>
            </w:pPr>
            <w:r>
              <w:rPr>
                <w:rFonts w:hint="eastAsia" w:ascii="宋体" w:hAnsi="宋体"/>
                <w:szCs w:val="21"/>
              </w:rPr>
              <w:t>教师风范及教学效果（35分）</w:t>
            </w:r>
          </w:p>
        </w:tc>
        <w:tc>
          <w:tcPr>
            <w:tcW w:w="1275" w:type="dxa"/>
            <w:vAlign w:val="center"/>
          </w:tcPr>
          <w:p>
            <w:pPr>
              <w:jc w:val="center"/>
              <w:rPr>
                <w:b/>
                <w:szCs w:val="21"/>
              </w:rPr>
            </w:pPr>
            <w:r>
              <w:rPr>
                <w:rFonts w:hint="eastAsia" w:ascii="宋体" w:hAnsi="宋体"/>
                <w:szCs w:val="21"/>
              </w:rPr>
              <w:t>教学风范</w:t>
            </w:r>
          </w:p>
        </w:tc>
        <w:tc>
          <w:tcPr>
            <w:tcW w:w="5812" w:type="dxa"/>
            <w:vAlign w:val="center"/>
          </w:tcPr>
          <w:p>
            <w:pPr>
              <w:rPr>
                <w:b/>
                <w:szCs w:val="21"/>
              </w:rPr>
            </w:pPr>
            <w:r>
              <w:rPr>
                <w:rFonts w:ascii="宋体" w:hAnsi="宋体" w:cs="宋体"/>
                <w:spacing w:val="-6"/>
                <w:kern w:val="0"/>
                <w:szCs w:val="21"/>
              </w:rPr>
              <w:t>热爱教育事业，严谨治学，言传身教，教学思想观念先进，教学方法手段创新，教学效果显著，教书育人突出</w:t>
            </w:r>
            <w:r>
              <w:rPr>
                <w:rFonts w:hint="eastAsia" w:ascii="宋体" w:hAnsi="宋体" w:cs="宋体"/>
                <w:spacing w:val="-6"/>
                <w:kern w:val="0"/>
                <w:szCs w:val="21"/>
              </w:rPr>
              <w:t>。(5分)</w:t>
            </w:r>
          </w:p>
        </w:tc>
        <w:tc>
          <w:tcPr>
            <w:tcW w:w="992" w:type="dxa"/>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101" w:type="dxa"/>
            <w:vMerge w:val="continue"/>
            <w:vAlign w:val="center"/>
          </w:tcPr>
          <w:p>
            <w:pPr>
              <w:jc w:val="center"/>
              <w:rPr>
                <w:rFonts w:ascii="宋体" w:hAnsi="宋体"/>
                <w:szCs w:val="21"/>
              </w:rPr>
            </w:pPr>
          </w:p>
        </w:tc>
        <w:tc>
          <w:tcPr>
            <w:tcW w:w="1275" w:type="dxa"/>
            <w:vAlign w:val="center"/>
          </w:tcPr>
          <w:p>
            <w:pPr>
              <w:jc w:val="center"/>
              <w:rPr>
                <w:b/>
                <w:szCs w:val="21"/>
              </w:rPr>
            </w:pPr>
            <w:r>
              <w:rPr>
                <w:rFonts w:hint="eastAsia" w:ascii="宋体" w:hAnsi="宋体"/>
                <w:szCs w:val="21"/>
              </w:rPr>
              <w:t>教学效果</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近两年专家听课平均成绩（15分）；近两年学生网上评教的平均成绩（10分）；学生课堂教学评教成绩（5分）。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01" w:type="dxa"/>
            <w:vMerge w:val="restart"/>
            <w:vAlign w:val="center"/>
          </w:tcPr>
          <w:p>
            <w:pPr>
              <w:jc w:val="center"/>
              <w:rPr>
                <w:rFonts w:ascii="宋体" w:hAnsi="宋体"/>
                <w:szCs w:val="21"/>
              </w:rPr>
            </w:pPr>
            <w:r>
              <w:rPr>
                <w:rFonts w:hint="eastAsia" w:ascii="宋体" w:hAnsi="宋体"/>
                <w:szCs w:val="21"/>
              </w:rPr>
              <w:t>教学研究（25分）</w:t>
            </w:r>
          </w:p>
        </w:tc>
        <w:tc>
          <w:tcPr>
            <w:tcW w:w="1275" w:type="dxa"/>
            <w:vAlign w:val="center"/>
          </w:tcPr>
          <w:p>
            <w:pPr>
              <w:jc w:val="center"/>
              <w:rPr>
                <w:szCs w:val="21"/>
              </w:rPr>
            </w:pPr>
            <w:r>
              <w:rPr>
                <w:rFonts w:hint="eastAsia" w:ascii="宋体" w:hAnsi="宋体"/>
                <w:szCs w:val="21"/>
              </w:rPr>
              <w:t>教研论文</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 xml:space="preserve">核心刊物加5分/篇，一般刊物加2分/篇。 </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101" w:type="dxa"/>
            <w:vMerge w:val="continue"/>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教学改革</w:t>
            </w:r>
          </w:p>
          <w:p>
            <w:pPr>
              <w:jc w:val="center"/>
              <w:rPr>
                <w:rFonts w:ascii="宋体" w:hAnsi="宋体" w:cs="宋体"/>
                <w:spacing w:val="-6"/>
                <w:kern w:val="0"/>
                <w:szCs w:val="21"/>
              </w:rPr>
            </w:pPr>
            <w:r>
              <w:rPr>
                <w:rFonts w:hint="eastAsia" w:ascii="宋体" w:hAnsi="宋体"/>
                <w:szCs w:val="21"/>
              </w:rPr>
              <w:t>研究项目</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主持国家级、省级或校级教学改革研究项目分别加10分、6分、2分；参研的排序1、2、3分别按同级别的1/3、1/4、1/5计算加分。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101" w:type="dxa"/>
            <w:vMerge w:val="restart"/>
            <w:vAlign w:val="center"/>
          </w:tcPr>
          <w:p>
            <w:pPr>
              <w:jc w:val="center"/>
              <w:rPr>
                <w:rFonts w:ascii="宋体" w:hAnsi="宋体"/>
                <w:szCs w:val="21"/>
              </w:rPr>
            </w:pPr>
            <w:r>
              <w:rPr>
                <w:rFonts w:hint="eastAsia" w:ascii="宋体" w:hAnsi="宋体"/>
                <w:szCs w:val="21"/>
              </w:rPr>
              <w:t>指导学生</w:t>
            </w:r>
          </w:p>
          <w:p>
            <w:pPr>
              <w:jc w:val="center"/>
              <w:rPr>
                <w:rFonts w:ascii="宋体" w:hAnsi="宋体"/>
                <w:szCs w:val="21"/>
              </w:rPr>
            </w:pPr>
            <w:r>
              <w:rPr>
                <w:rFonts w:hint="eastAsia" w:ascii="宋体" w:hAnsi="宋体"/>
                <w:szCs w:val="21"/>
              </w:rPr>
              <w:t>（15分）</w:t>
            </w:r>
          </w:p>
        </w:tc>
        <w:tc>
          <w:tcPr>
            <w:tcW w:w="1275" w:type="dxa"/>
            <w:vAlign w:val="center"/>
          </w:tcPr>
          <w:p>
            <w:pPr>
              <w:jc w:val="center"/>
              <w:rPr>
                <w:rFonts w:ascii="宋体" w:hAnsi="宋体"/>
                <w:szCs w:val="21"/>
              </w:rPr>
            </w:pPr>
            <w:r>
              <w:rPr>
                <w:rFonts w:hint="eastAsia" w:ascii="宋体" w:hAnsi="宋体"/>
                <w:szCs w:val="21"/>
              </w:rPr>
              <w:t>指导教师</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优秀实习指导教师加1分；</w:t>
            </w:r>
            <w:r>
              <w:rPr>
                <w:rFonts w:ascii="宋体" w:hAnsi="宋体" w:cs="宋体"/>
                <w:spacing w:val="-6"/>
                <w:kern w:val="0"/>
                <w:szCs w:val="21"/>
              </w:rPr>
              <w:t>毕业论文（设计</w:t>
            </w:r>
            <w:r>
              <w:rPr>
                <w:rFonts w:hint="eastAsia" w:ascii="宋体" w:hAnsi="宋体" w:cs="宋体"/>
                <w:spacing w:val="-6"/>
                <w:kern w:val="0"/>
                <w:szCs w:val="21"/>
              </w:rPr>
              <w:t>、创作</w:t>
            </w:r>
            <w:r>
              <w:rPr>
                <w:rFonts w:ascii="宋体" w:hAnsi="宋体" w:cs="宋体"/>
                <w:spacing w:val="-6"/>
                <w:kern w:val="0"/>
                <w:szCs w:val="21"/>
              </w:rPr>
              <w:t>）</w:t>
            </w:r>
            <w:r>
              <w:rPr>
                <w:rFonts w:hint="eastAsia" w:ascii="宋体" w:hAnsi="宋体" w:cs="宋体"/>
                <w:spacing w:val="-6"/>
                <w:kern w:val="0"/>
                <w:szCs w:val="21"/>
              </w:rPr>
              <w:t xml:space="preserve">优秀指导教师加1分。 </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01" w:type="dxa"/>
            <w:vMerge w:val="continue"/>
            <w:vAlign w:val="center"/>
          </w:tcPr>
          <w:p>
            <w:pPr>
              <w:jc w:val="center"/>
              <w:rPr>
                <w:rFonts w:ascii="宋体" w:hAnsi="宋体"/>
                <w:szCs w:val="21"/>
              </w:rPr>
            </w:pPr>
          </w:p>
        </w:tc>
        <w:tc>
          <w:tcPr>
            <w:tcW w:w="1275" w:type="dxa"/>
            <w:vAlign w:val="center"/>
          </w:tcPr>
          <w:p>
            <w:pPr>
              <w:jc w:val="center"/>
              <w:rPr>
                <w:rFonts w:ascii="宋体" w:hAnsi="宋体" w:cs="宋体"/>
                <w:spacing w:val="-6"/>
                <w:kern w:val="0"/>
                <w:szCs w:val="21"/>
              </w:rPr>
            </w:pPr>
            <w:r>
              <w:rPr>
                <w:rFonts w:hint="eastAsia" w:ascii="宋体" w:hAnsi="宋体"/>
                <w:szCs w:val="21"/>
              </w:rPr>
              <w:t>学生获奖</w:t>
            </w:r>
          </w:p>
        </w:tc>
        <w:tc>
          <w:tcPr>
            <w:tcW w:w="5812" w:type="dxa"/>
            <w:vAlign w:val="center"/>
          </w:tcPr>
          <w:p>
            <w:pPr>
              <w:rPr>
                <w:rFonts w:ascii="宋体" w:hAnsi="宋体" w:cs="宋体"/>
                <w:spacing w:val="-6"/>
                <w:kern w:val="0"/>
                <w:szCs w:val="21"/>
              </w:rPr>
            </w:pPr>
            <w:r>
              <w:rPr>
                <w:rFonts w:ascii="宋体" w:hAnsi="宋体" w:cs="宋体"/>
                <w:spacing w:val="-6"/>
                <w:kern w:val="0"/>
                <w:szCs w:val="21"/>
              </w:rPr>
              <w:t>指导</w:t>
            </w:r>
            <w:r>
              <w:rPr>
                <w:rFonts w:hint="eastAsia" w:ascii="宋体" w:hAnsi="宋体" w:cs="宋体"/>
                <w:spacing w:val="-6"/>
                <w:kern w:val="0"/>
                <w:szCs w:val="21"/>
              </w:rPr>
              <w:t>大学</w:t>
            </w:r>
            <w:r>
              <w:rPr>
                <w:rFonts w:ascii="宋体" w:hAnsi="宋体" w:cs="宋体"/>
                <w:spacing w:val="-6"/>
                <w:kern w:val="0"/>
                <w:szCs w:val="21"/>
              </w:rPr>
              <w:t>生</w:t>
            </w:r>
            <w:r>
              <w:rPr>
                <w:rFonts w:hint="eastAsia" w:ascii="宋体" w:hAnsi="宋体" w:cs="宋体"/>
                <w:spacing w:val="-6"/>
                <w:kern w:val="0"/>
                <w:szCs w:val="21"/>
              </w:rPr>
              <w:t>获得一类</w:t>
            </w:r>
            <w:r>
              <w:rPr>
                <w:rFonts w:ascii="宋体" w:hAnsi="宋体" w:cs="宋体"/>
                <w:spacing w:val="-6"/>
                <w:kern w:val="0"/>
                <w:szCs w:val="21"/>
              </w:rPr>
              <w:t>国家级学科竞赛</w:t>
            </w:r>
            <w:r>
              <w:rPr>
                <w:rFonts w:hint="eastAsia" w:ascii="宋体" w:hAnsi="宋体" w:cs="宋体"/>
                <w:spacing w:val="-6"/>
                <w:kern w:val="0"/>
                <w:szCs w:val="21"/>
              </w:rPr>
              <w:t>一等奖、二等奖，每项分别加5分、3分；获得一类省级一等奖、二等奖分别加3分、2分。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101" w:type="dxa"/>
            <w:vMerge w:val="continue"/>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科研项目</w:t>
            </w:r>
          </w:p>
        </w:tc>
        <w:tc>
          <w:tcPr>
            <w:tcW w:w="5812" w:type="dxa"/>
            <w:vAlign w:val="center"/>
          </w:tcPr>
          <w:p>
            <w:pPr>
              <w:rPr>
                <w:rFonts w:ascii="宋体" w:hAnsi="宋体" w:cs="宋体"/>
                <w:spacing w:val="-6"/>
                <w:kern w:val="0"/>
                <w:szCs w:val="21"/>
              </w:rPr>
            </w:pPr>
            <w:r>
              <w:rPr>
                <w:rFonts w:hint="eastAsia" w:ascii="宋体" w:hAnsi="宋体"/>
                <w:szCs w:val="21"/>
              </w:rPr>
              <w:t>指导大学生科研项目每项加1分，指导大学生创新创业训练计划项目国家级、省级和校级每项分别加3分、2分、1分。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01" w:type="dxa"/>
            <w:vMerge w:val="restart"/>
            <w:vAlign w:val="center"/>
          </w:tcPr>
          <w:p>
            <w:pPr>
              <w:jc w:val="center"/>
              <w:rPr>
                <w:rFonts w:ascii="宋体" w:hAnsi="宋体"/>
                <w:szCs w:val="21"/>
              </w:rPr>
            </w:pPr>
            <w:r>
              <w:rPr>
                <w:rFonts w:hint="eastAsia" w:ascii="宋体" w:hAnsi="宋体"/>
                <w:szCs w:val="21"/>
              </w:rPr>
              <w:t>教学成果</w:t>
            </w:r>
          </w:p>
          <w:p>
            <w:pPr>
              <w:jc w:val="center"/>
              <w:rPr>
                <w:rFonts w:ascii="宋体" w:hAnsi="宋体"/>
                <w:szCs w:val="21"/>
              </w:rPr>
            </w:pPr>
            <w:r>
              <w:rPr>
                <w:rFonts w:hint="eastAsia" w:ascii="宋体" w:hAnsi="宋体"/>
                <w:szCs w:val="21"/>
              </w:rPr>
              <w:t>（25分）</w:t>
            </w:r>
          </w:p>
        </w:tc>
        <w:tc>
          <w:tcPr>
            <w:tcW w:w="1275" w:type="dxa"/>
            <w:vAlign w:val="center"/>
          </w:tcPr>
          <w:p>
            <w:pPr>
              <w:jc w:val="center"/>
              <w:rPr>
                <w:rFonts w:ascii="宋体" w:hAnsi="宋体"/>
                <w:szCs w:val="21"/>
              </w:rPr>
            </w:pPr>
            <w:r>
              <w:rPr>
                <w:rFonts w:hint="eastAsia" w:ascii="宋体" w:hAnsi="宋体"/>
                <w:szCs w:val="21"/>
              </w:rPr>
              <w:t>教学成果</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获得国家级教学成果奖一等奖、二等奖，分别加8分、6分；省级教学成果奖一等奖、二等奖、三等奖，分别加6分、5分、4分；校级教学成果一等奖、二等奖、三等奖，分别加4分、3分、1分。</w:t>
            </w:r>
          </w:p>
        </w:tc>
        <w:tc>
          <w:tcPr>
            <w:tcW w:w="992" w:type="dxa"/>
            <w:vAlign w:val="center"/>
          </w:tcPr>
          <w:p>
            <w:pPr>
              <w:pStyle w:val="4"/>
              <w:spacing w:before="0" w:after="0" w:line="240" w:lineRule="exact"/>
              <w:jc w:val="center"/>
              <w:rPr>
                <w:rFonts w:ascii="宋体" w:hAnsi="宋体" w:cs="宋体"/>
                <w:b w:val="0"/>
                <w:bCs w:val="0"/>
                <w:spacing w:val="-6"/>
                <w:sz w:val="21"/>
                <w:szCs w:val="21"/>
              </w:rPr>
            </w:pPr>
            <w:r>
              <w:rPr>
                <w:rFonts w:hint="eastAsia" w:ascii="宋体" w:hAnsi="宋体" w:cs="宋体"/>
                <w:b w:val="0"/>
                <w:bCs w:val="0"/>
                <w:spacing w:val="-6"/>
                <w:sz w:val="21"/>
                <w:szCs w:val="21"/>
              </w:rPr>
              <w:t>多人获奖参照《内江师范学院科研、教研工作量考核办法(2012修订版)》执行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101" w:type="dxa"/>
            <w:vMerge w:val="continue"/>
            <w:tcBorders>
              <w:bottom w:val="single" w:color="auto" w:sz="4" w:space="0"/>
            </w:tcBorders>
            <w:vAlign w:val="center"/>
          </w:tcPr>
          <w:p>
            <w:pPr>
              <w:jc w:val="center"/>
              <w:rPr>
                <w:rFonts w:ascii="宋体" w:hAnsi="宋体"/>
                <w:szCs w:val="21"/>
              </w:rPr>
            </w:pPr>
          </w:p>
        </w:tc>
        <w:tc>
          <w:tcPr>
            <w:tcW w:w="1275" w:type="dxa"/>
            <w:tcBorders>
              <w:bottom w:val="single" w:color="auto" w:sz="4" w:space="0"/>
            </w:tcBorders>
            <w:vAlign w:val="center"/>
          </w:tcPr>
          <w:p>
            <w:pPr>
              <w:jc w:val="center"/>
              <w:rPr>
                <w:rFonts w:ascii="宋体" w:hAnsi="宋体"/>
                <w:szCs w:val="21"/>
              </w:rPr>
            </w:pPr>
            <w:r>
              <w:rPr>
                <w:rFonts w:hint="eastAsia" w:ascii="宋体" w:hAnsi="宋体"/>
                <w:szCs w:val="21"/>
              </w:rPr>
              <w:t>教材编写</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主编、</w:t>
            </w:r>
            <w:r>
              <w:rPr>
                <w:rFonts w:hint="eastAsia" w:ascii="宋体" w:hAnsi="宋体"/>
                <w:szCs w:val="21"/>
              </w:rPr>
              <w:t>第一副主编分别</w:t>
            </w:r>
            <w:r>
              <w:rPr>
                <w:rFonts w:hint="eastAsia" w:ascii="宋体" w:hAnsi="宋体" w:cs="宋体"/>
                <w:spacing w:val="-6"/>
                <w:kern w:val="0"/>
                <w:szCs w:val="21"/>
              </w:rPr>
              <w:t>加4分、1分</w:t>
            </w:r>
            <w:r>
              <w:rPr>
                <w:rFonts w:hint="eastAsia" w:ascii="宋体" w:hAnsi="宋体"/>
                <w:szCs w:val="21"/>
              </w:rPr>
              <w:t>；</w:t>
            </w:r>
            <w:r>
              <w:rPr>
                <w:rFonts w:ascii="宋体" w:hAnsi="宋体" w:cs="宋体"/>
                <w:spacing w:val="-6"/>
                <w:kern w:val="0"/>
                <w:szCs w:val="21"/>
              </w:rPr>
              <w:t>获得优秀教材奖</w:t>
            </w:r>
            <w:r>
              <w:rPr>
                <w:rFonts w:hint="eastAsia" w:ascii="宋体" w:hAnsi="宋体" w:cs="宋体"/>
                <w:spacing w:val="-6"/>
                <w:kern w:val="0"/>
                <w:szCs w:val="21"/>
              </w:rPr>
              <w:t>另加1分。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1101" w:type="dxa"/>
            <w:vMerge w:val="continue"/>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教学比赛</w:t>
            </w:r>
          </w:p>
        </w:tc>
        <w:tc>
          <w:tcPr>
            <w:tcW w:w="5812" w:type="dxa"/>
            <w:vAlign w:val="center"/>
          </w:tcPr>
          <w:p>
            <w:pPr>
              <w:rPr>
                <w:rFonts w:ascii="宋体" w:hAnsi="宋体" w:cs="宋体"/>
                <w:spacing w:val="-6"/>
                <w:kern w:val="0"/>
                <w:szCs w:val="21"/>
              </w:rPr>
            </w:pPr>
            <w:r>
              <w:rPr>
                <w:rFonts w:hint="eastAsia" w:ascii="宋体" w:hAnsi="宋体" w:cs="宋体"/>
                <w:spacing w:val="-6"/>
                <w:kern w:val="0"/>
                <w:szCs w:val="21"/>
              </w:rPr>
              <w:t>获教育行政主管部门或政府、学校组织的教学比赛，省级及以上一等奖、二等奖、三等奖，分别加15分、10分、8分；校级一等奖、二等奖、三等奖，分别加10分、8分、6分。</w:t>
            </w:r>
          </w:p>
        </w:tc>
        <w:tc>
          <w:tcPr>
            <w:tcW w:w="992" w:type="dxa"/>
            <w:vAlign w:val="center"/>
          </w:tcPr>
          <w:p>
            <w:pPr>
              <w:rPr>
                <w:rFonts w:ascii="宋体" w:hAnsi="宋体" w:cs="宋体"/>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6" w:type="dxa"/>
            <w:gridSpan w:val="2"/>
            <w:vAlign w:val="center"/>
          </w:tcPr>
          <w:p>
            <w:pPr>
              <w:jc w:val="center"/>
              <w:rPr>
                <w:rFonts w:ascii="宋体" w:hAnsi="宋体" w:cs="宋体"/>
                <w:spacing w:val="-6"/>
                <w:kern w:val="0"/>
                <w:szCs w:val="21"/>
              </w:rPr>
            </w:pPr>
            <w:r>
              <w:rPr>
                <w:rFonts w:hint="eastAsia" w:ascii="宋体" w:hAnsi="宋体"/>
                <w:szCs w:val="21"/>
              </w:rPr>
              <w:t>合    计</w:t>
            </w:r>
          </w:p>
        </w:tc>
        <w:tc>
          <w:tcPr>
            <w:tcW w:w="6804" w:type="dxa"/>
            <w:gridSpan w:val="2"/>
            <w:vAlign w:val="center"/>
          </w:tcPr>
          <w:p>
            <w:pPr>
              <w:jc w:val="center"/>
              <w:rPr>
                <w:szCs w:val="21"/>
              </w:rPr>
            </w:pPr>
          </w:p>
        </w:tc>
      </w:tr>
    </w:tbl>
    <w:p>
      <w:pPr>
        <w:widowControl/>
        <w:spacing w:line="520" w:lineRule="exact"/>
        <w:jc w:val="left"/>
        <w:rPr>
          <w:rFonts w:ascii="宋体" w:hAnsi="宋体"/>
          <w:szCs w:val="21"/>
        </w:rPr>
      </w:pPr>
      <w:r>
        <w:rPr>
          <w:rFonts w:hint="eastAsia" w:ascii="宋体" w:hAnsi="宋体"/>
          <w:szCs w:val="21"/>
        </w:rPr>
        <w:t>注：1、同一项目有多次得分时，就高计算；2、各项加分超过该项分数时，依次按最高为满分进行折算。</w:t>
      </w:r>
    </w:p>
    <w:p>
      <w:pPr>
        <w:rPr>
          <w:szCs w:val="21"/>
        </w:rPr>
      </w:pPr>
    </w:p>
    <w:p>
      <w:pPr>
        <w:rPr>
          <w:szCs w:val="21"/>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宋体" w:hAnsi="宋体"/>
          <w:b/>
          <w:sz w:val="32"/>
          <w:szCs w:val="32"/>
          <w:lang w:val="zh-CN"/>
        </w:rPr>
      </w:pPr>
      <w:r>
        <w:rPr>
          <w:rFonts w:hint="eastAsia" w:ascii="宋体" w:hAnsi="宋体"/>
          <w:b/>
          <w:sz w:val="32"/>
          <w:szCs w:val="32"/>
          <w:lang w:val="zh-CN"/>
        </w:rPr>
        <w:t>内江师范学院“教学名师”评选奖励办法</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内师院发〔2013〕32号</w:t>
      </w:r>
    </w:p>
    <w:p>
      <w:pPr>
        <w:spacing w:line="560" w:lineRule="exact"/>
        <w:jc w:val="center"/>
        <w:rPr>
          <w:rFonts w:asciiTheme="majorEastAsia" w:hAnsiTheme="majorEastAsia" w:eastAsiaTheme="majorEastAsia"/>
          <w:b/>
          <w:sz w:val="30"/>
          <w:szCs w:val="30"/>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为加强我校教师队伍建设，逐步建立若干高水平的教学团队，充分发挥教学名师在教学中的引领和示范作用，促进教学质量的进一步提高，学校设立“教学名师”奖，对教学业绩突出的教师予以表彰和奖励。</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一、评选原则</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cs="Times New Roman" w:asciiTheme="minorEastAsia" w:hAnsiTheme="minorEastAsia" w:eastAsiaTheme="minorEastAsia"/>
          <w:kern w:val="2"/>
        </w:rPr>
        <w:t>评选活动坚持“公平、公正、公开”的原则和教学与学术水平相结合的原则，考察师德、业绩等方面，对教师在师德修养、教学内容、教学方法、教学手段、教学效果、教学研究成果等方面进行综合评定。“教学名师”每两年评选一次，原则上每次评选人数不超过5名。</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二、评选条件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热爱社会主义祖国，坚持四项基本原则；具有符合时代特点的教学思想、良好的职业道德、强烈的事业心和协作精神；治学严谨，学风端正，教书育人，为人师表；模范地遵守学校的各项规章制度，近三年年终考核为合格及以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教学理念先进，注重教学内容、教学方法与教学手段改革，已形成自己的教学特色，教学效果显著，学生评价高，近三年教学效果考评成绩优秀。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具有高级专业技术职称，积极主动承担本科教学任务。近3年给本科生上课不少于450学时。“双肩挑”教师承担教学工作量按学校有关规定执行。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积极开展教研与科研工作，在课程建设、教学改革和教材建设方面取得突出成绩。申报者需符合以下条件之一：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1 \* GB2 </w:instrText>
      </w:r>
      <w:r>
        <w:rPr>
          <w:rFonts w:hint="eastAsia" w:asciiTheme="minorEastAsia" w:hAnsiTheme="minorEastAsia"/>
          <w:sz w:val="24"/>
          <w:szCs w:val="24"/>
        </w:rPr>
        <w:fldChar w:fldCharType="separate"/>
      </w:r>
      <w:r>
        <w:rPr>
          <w:rFonts w:hint="eastAsia" w:asciiTheme="minorEastAsia" w:hAnsiTheme="minorEastAsia"/>
          <w:sz w:val="24"/>
          <w:szCs w:val="24"/>
        </w:rPr>
        <w:t>⑴</w:t>
      </w:r>
      <w:r>
        <w:rPr>
          <w:rFonts w:hint="eastAsia" w:asciiTheme="minorEastAsia" w:hAnsiTheme="minorEastAsia"/>
          <w:sz w:val="24"/>
          <w:szCs w:val="24"/>
        </w:rPr>
        <w:fldChar w:fldCharType="end"/>
      </w:r>
      <w:r>
        <w:rPr>
          <w:rFonts w:hint="eastAsia" w:asciiTheme="minorEastAsia" w:hAnsiTheme="minorEastAsia"/>
          <w:sz w:val="24"/>
          <w:szCs w:val="24"/>
        </w:rPr>
        <w:t xml:space="preserve"> 近三年内主持省级及以上教学研究或科研课题；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2 \* GB2 </w:instrText>
      </w:r>
      <w:r>
        <w:rPr>
          <w:rFonts w:hint="eastAsia" w:asciiTheme="minorEastAsia" w:hAnsiTheme="minorEastAsia"/>
          <w:sz w:val="24"/>
          <w:szCs w:val="24"/>
        </w:rPr>
        <w:fldChar w:fldCharType="separate"/>
      </w:r>
      <w:r>
        <w:rPr>
          <w:rFonts w:hint="eastAsia" w:asciiTheme="minorEastAsia" w:hAnsiTheme="minorEastAsia"/>
          <w:sz w:val="24"/>
          <w:szCs w:val="24"/>
        </w:rPr>
        <w:t>⑵</w:t>
      </w:r>
      <w:r>
        <w:rPr>
          <w:rFonts w:hint="eastAsia" w:asciiTheme="minorEastAsia" w:hAnsiTheme="minorEastAsia"/>
          <w:sz w:val="24"/>
          <w:szCs w:val="24"/>
        </w:rPr>
        <w:fldChar w:fldCharType="end"/>
      </w:r>
      <w:r>
        <w:rPr>
          <w:rFonts w:hint="eastAsia" w:asciiTheme="minorEastAsia" w:hAnsiTheme="minorEastAsia"/>
          <w:sz w:val="24"/>
          <w:szCs w:val="24"/>
        </w:rPr>
        <w:t xml:space="preserve"> 校级及以上教学成果奖的主要完成人；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3 \* GB2 </w:instrText>
      </w:r>
      <w:r>
        <w:rPr>
          <w:rFonts w:hint="eastAsia" w:asciiTheme="minorEastAsia" w:hAnsiTheme="minorEastAsia"/>
          <w:sz w:val="24"/>
          <w:szCs w:val="24"/>
        </w:rPr>
        <w:fldChar w:fldCharType="separate"/>
      </w:r>
      <w:r>
        <w:rPr>
          <w:rFonts w:hint="eastAsia" w:asciiTheme="minorEastAsia" w:hAnsiTheme="minorEastAsia"/>
          <w:sz w:val="24"/>
          <w:szCs w:val="24"/>
        </w:rPr>
        <w:t>⑶</w:t>
      </w:r>
      <w:r>
        <w:rPr>
          <w:rFonts w:hint="eastAsia" w:asciiTheme="minorEastAsia" w:hAnsiTheme="minorEastAsia"/>
          <w:sz w:val="24"/>
          <w:szCs w:val="24"/>
        </w:rPr>
        <w:fldChar w:fldCharType="end"/>
      </w:r>
      <w:r>
        <w:rPr>
          <w:rFonts w:hint="eastAsia" w:asciiTheme="minorEastAsia" w:hAnsiTheme="minorEastAsia"/>
          <w:sz w:val="24"/>
          <w:szCs w:val="24"/>
        </w:rPr>
        <w:t xml:space="preserve"> 近三年内主编过省部级以上出版社正式出版的教材；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4 \* GB2 </w:instrText>
      </w:r>
      <w:r>
        <w:rPr>
          <w:rFonts w:hint="eastAsia" w:asciiTheme="minorEastAsia" w:hAnsiTheme="minorEastAsia"/>
          <w:sz w:val="24"/>
          <w:szCs w:val="24"/>
        </w:rPr>
        <w:fldChar w:fldCharType="separate"/>
      </w:r>
      <w:r>
        <w:rPr>
          <w:rFonts w:hint="eastAsia" w:asciiTheme="minorEastAsia" w:hAnsiTheme="minorEastAsia"/>
          <w:sz w:val="24"/>
          <w:szCs w:val="24"/>
        </w:rPr>
        <w:t>⑷</w:t>
      </w:r>
      <w:r>
        <w:rPr>
          <w:rFonts w:hint="eastAsia" w:asciiTheme="minorEastAsia" w:hAnsiTheme="minorEastAsia"/>
          <w:sz w:val="24"/>
          <w:szCs w:val="24"/>
        </w:rPr>
        <w:fldChar w:fldCharType="end"/>
      </w:r>
      <w:r>
        <w:rPr>
          <w:rFonts w:hint="eastAsia" w:asciiTheme="minorEastAsia" w:hAnsiTheme="minorEastAsia"/>
          <w:sz w:val="24"/>
          <w:szCs w:val="24"/>
        </w:rPr>
        <w:t xml:space="preserve"> 主持校级及以上精品开放课程建设项目。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在教师教学发展中心承担过学校教师培训任务的，同等条件下优先评选。</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三、评选程序</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为确保我校“教学名师”评选工作顺利开展，成立学校“教学名师”评选领导小组。领导小组组长由学校校长担任，副组长由学校分管教学工作的副校长担任</w:t>
      </w:r>
      <w:r>
        <w:rPr>
          <w:rFonts w:hint="eastAsia" w:asciiTheme="minorEastAsia" w:hAnsiTheme="minorEastAsia" w:eastAsiaTheme="minorEastAsia"/>
          <w:color w:val="000000"/>
        </w:rPr>
        <w:t>。监审处、</w:t>
      </w:r>
      <w:r>
        <w:rPr>
          <w:rFonts w:hint="eastAsia" w:asciiTheme="minorEastAsia" w:hAnsiTheme="minorEastAsia" w:eastAsiaTheme="minorEastAsia"/>
        </w:rPr>
        <w:t>教务处、</w:t>
      </w:r>
      <w:r>
        <w:rPr>
          <w:rFonts w:hint="eastAsia" w:asciiTheme="minorEastAsia" w:hAnsiTheme="minorEastAsia" w:eastAsiaTheme="minorEastAsia"/>
          <w:color w:val="000000"/>
        </w:rPr>
        <w:t>人</w:t>
      </w:r>
      <w:r>
        <w:rPr>
          <w:rFonts w:hint="eastAsia" w:asciiTheme="minorEastAsia" w:hAnsiTheme="minorEastAsia" w:eastAsiaTheme="minorEastAsia"/>
        </w:rPr>
        <w:t>事处、科技处、工会的负责人为领导小组成员。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领导小组下设办公室，办公室挂靠教务处，负责推荐评选的日常工作。评选程序如下：</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 候选人在所在二级学院组织的公开选拔推荐的基础上，填写《内江师范学院“教学名师”申报表》，按规定要求提交有关材料。</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2. 领导小组办公室对申报材料进行初步审查。</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3. 领导小组聘请专家，组建专家评审组，对推荐人选进行评审。</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4. 领导小组办公室根据专家评审组意见，提出奖励人选建议方案报学校“教学名师”评选领导小组审核。</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5. 领导小组办公室对经校评选领导小组审核的奖励人选进行公示，无异议后，报学校校长办公会审定。</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6. 根据四川省教育厅的有关规定，从校级“教学名师”中择优推荐省级及以上“教学名师”候选人。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四、“教学名师”的表彰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为当选的“教学名师”颁发荣誉证书，予以公开表彰并发给奖金。学校设立“教学名师”宣传栏，推广名师的教学经验，进一步营造良好的教学氛围。教学名师在完成职责后，学校按其当年承担教学工作量的50%发放“教学名师”津贴，津贴标准按通识选修课标准执行。教学名师的管理期为四年，管理期满不再享受“教学名师”有关待遇，但可参加新一届“教学名师”的推荐、评选。</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五、“教学名师”的职责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“教学名师”每年在校内举办2次以上的公开示范课，或举办2次以上全校教师培训讲座；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“教学名师”每年指导培养１－２名助教或青年教师。</w:t>
      </w:r>
    </w:p>
    <w:p>
      <w:pPr>
        <w:spacing w:line="360" w:lineRule="auto"/>
        <w:ind w:firstLine="426"/>
        <w:rPr>
          <w:rFonts w:asciiTheme="minorEastAsia" w:hAnsiTheme="minorEastAsia"/>
          <w:b/>
          <w:sz w:val="24"/>
          <w:szCs w:val="24"/>
        </w:rPr>
      </w:pPr>
      <w:r>
        <w:rPr>
          <w:rFonts w:hint="eastAsia" w:asciiTheme="minorEastAsia" w:hAnsiTheme="minorEastAsia"/>
          <w:b/>
          <w:sz w:val="24"/>
          <w:szCs w:val="24"/>
        </w:rPr>
        <w:t>六、本办法由学校教务处负责解释。</w:t>
      </w:r>
    </w:p>
    <w:p>
      <w:pPr>
        <w:spacing w:line="360" w:lineRule="auto"/>
        <w:ind w:firstLine="482" w:firstLineChars="200"/>
        <w:rPr>
          <w:rFonts w:asciiTheme="minorEastAsia" w:hAnsiTheme="minorEastAsia"/>
          <w:b/>
          <w:color w:val="FF6600"/>
          <w:sz w:val="24"/>
          <w:szCs w:val="24"/>
        </w:rPr>
      </w:pPr>
      <w:r>
        <w:rPr>
          <w:rFonts w:hint="eastAsia" w:asciiTheme="minorEastAsia" w:hAnsiTheme="minorEastAsia"/>
          <w:b/>
          <w:sz w:val="24"/>
          <w:szCs w:val="24"/>
        </w:rPr>
        <w:t>七、本办法从颁发之日起开始实施，原《内江师范学院教学名师评选办法》同时废止。</w:t>
      </w: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2013年4月22日</w:t>
      </w:r>
    </w:p>
    <w:p>
      <w:pPr>
        <w:autoSpaceDE w:val="0"/>
        <w:autoSpaceDN w:val="0"/>
        <w:adjustRightInd w:val="0"/>
        <w:spacing w:line="560" w:lineRule="exact"/>
        <w:jc w:val="center"/>
        <w:rPr>
          <w:rFonts w:cs="宋体" w:asciiTheme="majorEastAsia" w:hAnsiTheme="majorEastAsia" w:eastAsiaTheme="majorEastAsia"/>
          <w:b/>
          <w:bCs/>
          <w:sz w:val="32"/>
          <w:szCs w:val="32"/>
          <w:lang w:val="zh-CN"/>
        </w:rPr>
      </w:pPr>
      <w:r>
        <w:rPr>
          <w:rFonts w:hint="eastAsia" w:cs="宋体" w:asciiTheme="majorEastAsia" w:hAnsiTheme="majorEastAsia" w:eastAsiaTheme="majorEastAsia"/>
          <w:b/>
          <w:bCs/>
          <w:sz w:val="32"/>
          <w:szCs w:val="32"/>
          <w:lang w:val="zh-CN"/>
        </w:rPr>
        <w:t>内江师范学院“教学能手”评选办法（修订）</w:t>
      </w:r>
    </w:p>
    <w:p>
      <w:pPr>
        <w:spacing w:line="560" w:lineRule="exact"/>
        <w:ind w:firstLine="562" w:firstLineChars="200"/>
        <w:jc w:val="center"/>
        <w:rPr>
          <w:rFonts w:ascii="宋体" w:hAnsi="宋体"/>
          <w:b/>
          <w:sz w:val="28"/>
          <w:szCs w:val="28"/>
        </w:rPr>
      </w:pPr>
      <w:r>
        <w:rPr>
          <w:rFonts w:hint="eastAsia" w:ascii="宋体" w:hAnsi="宋体"/>
          <w:b/>
          <w:sz w:val="28"/>
          <w:szCs w:val="28"/>
        </w:rPr>
        <w:t>内师教字</w:t>
      </w:r>
      <w:r>
        <w:rPr>
          <w:rFonts w:hint="eastAsia" w:asciiTheme="minorEastAsia" w:hAnsiTheme="minorEastAsia"/>
          <w:b/>
          <w:sz w:val="28"/>
          <w:szCs w:val="28"/>
        </w:rPr>
        <w:t>〔201</w:t>
      </w:r>
      <w:r>
        <w:rPr>
          <w:rFonts w:asciiTheme="minorEastAsia" w:hAnsiTheme="minorEastAsia"/>
          <w:b/>
          <w:sz w:val="28"/>
          <w:szCs w:val="28"/>
        </w:rPr>
        <w:t>5</w:t>
      </w:r>
      <w:r>
        <w:rPr>
          <w:rFonts w:hint="eastAsia" w:asciiTheme="minorEastAsia" w:hAnsiTheme="minorEastAsia"/>
          <w:b/>
          <w:sz w:val="28"/>
          <w:szCs w:val="28"/>
        </w:rPr>
        <w:t>〕</w:t>
      </w:r>
      <w:r>
        <w:rPr>
          <w:rFonts w:hint="eastAsia" w:ascii="宋体" w:hAnsi="宋体"/>
          <w:b/>
          <w:sz w:val="28"/>
          <w:szCs w:val="28"/>
        </w:rPr>
        <w:t>43号</w:t>
      </w:r>
    </w:p>
    <w:p>
      <w:pPr>
        <w:spacing w:line="560" w:lineRule="exact"/>
        <w:ind w:firstLine="600" w:firstLineChars="200"/>
        <w:rPr>
          <w:rFonts w:ascii="仿宋_GB2312" w:eastAsia="仿宋_GB2312"/>
          <w:sz w:val="30"/>
          <w:szCs w:val="30"/>
        </w:rPr>
      </w:pPr>
    </w:p>
    <w:p>
      <w:pPr>
        <w:spacing w:line="360" w:lineRule="auto"/>
        <w:ind w:firstLine="480" w:firstLineChars="200"/>
        <w:rPr>
          <w:rFonts w:asciiTheme="minorEastAsia" w:hAnsiTheme="minorEastAsia"/>
          <w:sz w:val="24"/>
        </w:rPr>
      </w:pPr>
      <w:r>
        <w:rPr>
          <w:rFonts w:hint="eastAsia" w:asciiTheme="minorEastAsia" w:hAnsiTheme="minorEastAsia"/>
          <w:sz w:val="24"/>
        </w:rPr>
        <w:t>为调动全校教师的教学积极性、主动性和创造性，建设一支业务素质高、教学能力强的高素质教师队伍，不断提高教学质量，学校决定在全校教师中，评选一批教学能力强、教学效果好、深受学生喜爱的教师授予“教学能手”光荣称号。</w:t>
      </w:r>
    </w:p>
    <w:p>
      <w:pPr>
        <w:spacing w:line="360" w:lineRule="auto"/>
        <w:ind w:firstLine="482" w:firstLineChars="200"/>
        <w:rPr>
          <w:rFonts w:asciiTheme="minorEastAsia" w:hAnsiTheme="minorEastAsia"/>
          <w:b/>
          <w:sz w:val="24"/>
        </w:rPr>
      </w:pPr>
      <w:r>
        <w:rPr>
          <w:rFonts w:hint="eastAsia" w:asciiTheme="minorEastAsia" w:hAnsiTheme="minorEastAsia"/>
          <w:b/>
          <w:sz w:val="24"/>
        </w:rPr>
        <w:t>一、评选原则</w:t>
      </w:r>
    </w:p>
    <w:p>
      <w:pPr>
        <w:spacing w:line="360" w:lineRule="auto"/>
        <w:ind w:firstLine="480" w:firstLineChars="200"/>
        <w:rPr>
          <w:rFonts w:asciiTheme="minorEastAsia" w:hAnsiTheme="minorEastAsia"/>
          <w:sz w:val="24"/>
        </w:rPr>
      </w:pPr>
      <w:r>
        <w:rPr>
          <w:rFonts w:hint="eastAsia" w:asciiTheme="minorEastAsia" w:hAnsiTheme="minorEastAsia"/>
          <w:sz w:val="24"/>
        </w:rPr>
        <w:t>评选活动坚持教学与学术水平相结合的原则，对教师的师德修养、知识结构、教学内容、教学方法、教学效果、科研成果等方面的素质进行综合考察。“教学能手”每两年评选一次，原则上每次评选人数不超过10名。</w:t>
      </w:r>
    </w:p>
    <w:p>
      <w:pPr>
        <w:spacing w:line="360" w:lineRule="auto"/>
        <w:ind w:firstLine="482" w:firstLineChars="200"/>
        <w:rPr>
          <w:rFonts w:asciiTheme="minorEastAsia" w:hAnsiTheme="minorEastAsia"/>
          <w:b/>
          <w:sz w:val="24"/>
        </w:rPr>
      </w:pPr>
      <w:r>
        <w:rPr>
          <w:rFonts w:hint="eastAsia" w:asciiTheme="minorEastAsia" w:hAnsiTheme="minorEastAsia"/>
          <w:b/>
          <w:sz w:val="24"/>
        </w:rPr>
        <w:t>二、评选条件</w:t>
      </w:r>
    </w:p>
    <w:p>
      <w:pPr>
        <w:spacing w:line="360" w:lineRule="auto"/>
        <w:ind w:firstLine="480" w:firstLineChars="200"/>
        <w:rPr>
          <w:rFonts w:asciiTheme="minorEastAsia" w:hAnsiTheme="minorEastAsia"/>
          <w:sz w:val="24"/>
        </w:rPr>
      </w:pPr>
      <w:r>
        <w:rPr>
          <w:rFonts w:hint="eastAsia" w:asciiTheme="minorEastAsia" w:hAnsiTheme="minorEastAsia"/>
          <w:sz w:val="24"/>
        </w:rPr>
        <w:t>1. 遵守《高等学校教师职业道德规范》，近三年年度考核和绩效考核均为合格及以上。</w:t>
      </w:r>
    </w:p>
    <w:p>
      <w:pPr>
        <w:spacing w:line="360" w:lineRule="auto"/>
        <w:ind w:firstLine="480" w:firstLineChars="200"/>
        <w:rPr>
          <w:rFonts w:asciiTheme="minorEastAsia" w:hAnsiTheme="minorEastAsia"/>
          <w:sz w:val="24"/>
        </w:rPr>
      </w:pPr>
      <w:r>
        <w:rPr>
          <w:rFonts w:hint="eastAsia" w:asciiTheme="minorEastAsia" w:hAnsiTheme="minorEastAsia"/>
          <w:sz w:val="24"/>
        </w:rPr>
        <w:t>2. 在教学与改革方面取得突出成绩，教学效果好，学生评价高。</w:t>
      </w:r>
    </w:p>
    <w:p>
      <w:pPr>
        <w:spacing w:line="360" w:lineRule="auto"/>
        <w:ind w:firstLine="480" w:firstLineChars="200"/>
        <w:rPr>
          <w:rFonts w:asciiTheme="minorEastAsia" w:hAnsiTheme="minorEastAsia"/>
          <w:sz w:val="24"/>
        </w:rPr>
      </w:pPr>
      <w:r>
        <w:rPr>
          <w:rFonts w:hint="eastAsia" w:asciiTheme="minorEastAsia" w:hAnsiTheme="minorEastAsia"/>
          <w:sz w:val="24"/>
        </w:rPr>
        <w:t>3. 具有中级或副高职称，近两年每年承担本科教学工作量不少于200</w:t>
      </w:r>
      <w:r>
        <w:rPr>
          <w:rFonts w:asciiTheme="minorEastAsia" w:hAnsiTheme="minorEastAsia"/>
          <w:sz w:val="24"/>
        </w:rPr>
        <w:t>学时</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4. 近三年参加各级各类讲课比赛，并至少两次获奖。</w:t>
      </w:r>
    </w:p>
    <w:p>
      <w:pPr>
        <w:widowControl/>
        <w:spacing w:line="360" w:lineRule="auto"/>
        <w:ind w:firstLine="480" w:firstLineChars="200"/>
        <w:jc w:val="left"/>
        <w:rPr>
          <w:rFonts w:asciiTheme="minorEastAsia" w:hAnsiTheme="minorEastAsia"/>
          <w:sz w:val="24"/>
        </w:rPr>
      </w:pPr>
      <w:r>
        <w:rPr>
          <w:rFonts w:hint="eastAsia" w:asciiTheme="minorEastAsia" w:hAnsiTheme="minorEastAsia"/>
          <w:sz w:val="24"/>
        </w:rPr>
        <w:t>5. 积极开展教研与科研工作，在教学改革、专业建设、课程建设和教材建设方面取得突出成绩，申报者近三年内至少符合以下一项条件（下述</w:t>
      </w:r>
      <w:r>
        <w:rPr>
          <w:rFonts w:asciiTheme="minorEastAsia" w:hAnsiTheme="minorEastAsia"/>
          <w:sz w:val="24"/>
        </w:rPr>
        <w:t>材料仅可作为一次</w:t>
      </w:r>
      <w:r>
        <w:rPr>
          <w:rFonts w:hint="eastAsia" w:asciiTheme="minorEastAsia" w:hAnsiTheme="minorEastAsia"/>
          <w:sz w:val="24"/>
        </w:rPr>
        <w:t>申报</w:t>
      </w:r>
      <w:r>
        <w:rPr>
          <w:rFonts w:asciiTheme="minorEastAsia" w:hAnsiTheme="minorEastAsia"/>
          <w:sz w:val="24"/>
        </w:rPr>
        <w:t>的正式依据，</w:t>
      </w:r>
      <w:r>
        <w:rPr>
          <w:rFonts w:hint="eastAsia" w:asciiTheme="minorEastAsia" w:hAnsiTheme="minorEastAsia"/>
          <w:sz w:val="24"/>
        </w:rPr>
        <w:t>不能重复使用）：</w:t>
      </w:r>
    </w:p>
    <w:p>
      <w:pPr>
        <w:spacing w:line="360" w:lineRule="auto"/>
        <w:ind w:firstLine="480" w:firstLineChars="200"/>
        <w:rPr>
          <w:rFonts w:asciiTheme="minorEastAsia" w:hAnsiTheme="minorEastAsia"/>
          <w:sz w:val="24"/>
        </w:rPr>
      </w:pPr>
      <w:r>
        <w:rPr>
          <w:rFonts w:hint="eastAsia" w:asciiTheme="minorEastAsia" w:hAnsiTheme="minorEastAsia"/>
          <w:sz w:val="24"/>
        </w:rPr>
        <w:t>（1）主持校级及以上教学研究项目；</w:t>
      </w:r>
    </w:p>
    <w:p>
      <w:pPr>
        <w:spacing w:line="360" w:lineRule="auto"/>
        <w:ind w:firstLine="480" w:firstLineChars="200"/>
        <w:rPr>
          <w:rFonts w:asciiTheme="minorEastAsia" w:hAnsiTheme="minorEastAsia"/>
          <w:sz w:val="24"/>
        </w:rPr>
      </w:pPr>
      <w:r>
        <w:rPr>
          <w:rFonts w:hint="eastAsia" w:asciiTheme="minorEastAsia" w:hAnsiTheme="minorEastAsia"/>
          <w:sz w:val="24"/>
        </w:rPr>
        <w:t>（2）参加过正式出版的教材编写；</w:t>
      </w:r>
    </w:p>
    <w:p>
      <w:pPr>
        <w:spacing w:line="360" w:lineRule="auto"/>
        <w:ind w:firstLine="480" w:firstLineChars="200"/>
        <w:rPr>
          <w:rFonts w:asciiTheme="minorEastAsia" w:hAnsiTheme="minorEastAsia"/>
          <w:sz w:val="24"/>
        </w:rPr>
      </w:pPr>
      <w:r>
        <w:rPr>
          <w:rFonts w:hint="eastAsia" w:asciiTheme="minorEastAsia" w:hAnsiTheme="minorEastAsia"/>
          <w:sz w:val="24"/>
        </w:rPr>
        <w:t>（3）主持校级及以上的精品开放课程、专业核心课程、优质通识选修课等项目。</w:t>
      </w:r>
    </w:p>
    <w:p>
      <w:pPr>
        <w:spacing w:line="360" w:lineRule="auto"/>
        <w:ind w:firstLine="480" w:firstLineChars="200"/>
        <w:rPr>
          <w:rFonts w:asciiTheme="minorEastAsia" w:hAnsiTheme="minorEastAsia"/>
          <w:sz w:val="24"/>
        </w:rPr>
      </w:pPr>
      <w:r>
        <w:rPr>
          <w:rFonts w:hint="eastAsia" w:asciiTheme="minorEastAsia" w:hAnsiTheme="minorEastAsia"/>
          <w:sz w:val="24"/>
        </w:rPr>
        <w:t>6. 承担过校内教师培训任务的，同等条件下优先评选。</w:t>
      </w:r>
    </w:p>
    <w:p>
      <w:pPr>
        <w:spacing w:line="360" w:lineRule="auto"/>
        <w:ind w:firstLine="482" w:firstLineChars="200"/>
        <w:rPr>
          <w:rFonts w:asciiTheme="minorEastAsia" w:hAnsiTheme="minorEastAsia"/>
          <w:b/>
          <w:sz w:val="24"/>
        </w:rPr>
      </w:pPr>
      <w:r>
        <w:rPr>
          <w:rFonts w:hint="eastAsia" w:asciiTheme="minorEastAsia" w:hAnsiTheme="minorEastAsia"/>
          <w:b/>
          <w:sz w:val="24"/>
        </w:rPr>
        <w:t>三、评选程序</w:t>
      </w:r>
    </w:p>
    <w:p>
      <w:pPr>
        <w:spacing w:line="360" w:lineRule="auto"/>
        <w:ind w:firstLine="480" w:firstLineChars="200"/>
        <w:rPr>
          <w:rFonts w:asciiTheme="minorEastAsia" w:hAnsiTheme="minorEastAsia"/>
          <w:sz w:val="24"/>
        </w:rPr>
      </w:pPr>
      <w:r>
        <w:rPr>
          <w:rFonts w:hint="eastAsia" w:asciiTheme="minorEastAsia" w:hAnsiTheme="minorEastAsia"/>
          <w:sz w:val="24"/>
        </w:rPr>
        <w:t>1. 教学单位组织公开选拔推荐，填写《内江师范学院“教学能手”申报表》并提交相关材料；</w:t>
      </w:r>
    </w:p>
    <w:p>
      <w:pPr>
        <w:spacing w:line="360" w:lineRule="auto"/>
        <w:ind w:firstLine="480" w:firstLineChars="200"/>
        <w:rPr>
          <w:rFonts w:asciiTheme="minorEastAsia" w:hAnsiTheme="minorEastAsia"/>
          <w:sz w:val="24"/>
        </w:rPr>
      </w:pPr>
      <w:r>
        <w:rPr>
          <w:rFonts w:hint="eastAsia" w:asciiTheme="minorEastAsia" w:hAnsiTheme="minorEastAsia"/>
          <w:sz w:val="24"/>
        </w:rPr>
        <w:t>2. 初步审查申报材料；</w:t>
      </w:r>
    </w:p>
    <w:p>
      <w:pPr>
        <w:spacing w:line="360" w:lineRule="auto"/>
        <w:ind w:firstLine="480" w:firstLineChars="200"/>
        <w:rPr>
          <w:rFonts w:asciiTheme="minorEastAsia" w:hAnsiTheme="minorEastAsia"/>
          <w:sz w:val="24"/>
        </w:rPr>
      </w:pPr>
      <w:r>
        <w:rPr>
          <w:rFonts w:hint="eastAsia" w:asciiTheme="minorEastAsia" w:hAnsiTheme="minorEastAsia"/>
          <w:sz w:val="24"/>
        </w:rPr>
        <w:t>3. 评审小组审核评选，推荐拟获奖人选；</w:t>
      </w:r>
    </w:p>
    <w:p>
      <w:pPr>
        <w:spacing w:line="360" w:lineRule="auto"/>
        <w:ind w:firstLine="480" w:firstLineChars="200"/>
        <w:rPr>
          <w:rFonts w:asciiTheme="minorEastAsia" w:hAnsiTheme="minorEastAsia"/>
          <w:sz w:val="24"/>
        </w:rPr>
      </w:pPr>
      <w:r>
        <w:rPr>
          <w:rFonts w:hint="eastAsia" w:asciiTheme="minorEastAsia" w:hAnsiTheme="minorEastAsia"/>
          <w:sz w:val="24"/>
        </w:rPr>
        <w:t>4. 报校学术委员会评审并公示；</w:t>
      </w:r>
    </w:p>
    <w:p>
      <w:pPr>
        <w:spacing w:line="360" w:lineRule="auto"/>
        <w:ind w:firstLine="480" w:firstLineChars="200"/>
        <w:rPr>
          <w:rFonts w:asciiTheme="minorEastAsia" w:hAnsiTheme="minorEastAsia"/>
          <w:sz w:val="24"/>
        </w:rPr>
      </w:pPr>
      <w:r>
        <w:rPr>
          <w:rFonts w:hint="eastAsia" w:asciiTheme="minorEastAsia" w:hAnsiTheme="minorEastAsia"/>
          <w:sz w:val="24"/>
        </w:rPr>
        <w:t>5. 公示无异议，报校长办公会审定。</w:t>
      </w:r>
    </w:p>
    <w:p>
      <w:pPr>
        <w:spacing w:line="360" w:lineRule="auto"/>
        <w:ind w:firstLine="482" w:firstLineChars="200"/>
        <w:rPr>
          <w:rFonts w:asciiTheme="minorEastAsia" w:hAnsiTheme="minorEastAsia"/>
          <w:b/>
          <w:sz w:val="24"/>
        </w:rPr>
      </w:pPr>
      <w:r>
        <w:rPr>
          <w:rFonts w:hint="eastAsia" w:asciiTheme="minorEastAsia" w:hAnsiTheme="minorEastAsia"/>
          <w:b/>
          <w:sz w:val="24"/>
        </w:rPr>
        <w:t>四、奖励办法</w:t>
      </w:r>
    </w:p>
    <w:p>
      <w:pPr>
        <w:spacing w:line="360" w:lineRule="auto"/>
        <w:ind w:firstLine="480" w:firstLineChars="200"/>
        <w:rPr>
          <w:rFonts w:asciiTheme="minorEastAsia" w:hAnsiTheme="minorEastAsia"/>
          <w:sz w:val="24"/>
        </w:rPr>
      </w:pPr>
      <w:r>
        <w:rPr>
          <w:rFonts w:hint="eastAsia" w:asciiTheme="minorEastAsia" w:hAnsiTheme="minorEastAsia"/>
          <w:sz w:val="24"/>
        </w:rPr>
        <w:t>学校为“教学能手”颁发荣誉证书，予以公开表彰并发给奖金。学校将设立“教学能手”专栏，推广“教学能手”的教学经验，进一步营造良好的教学氛围。教学能手的管理期为两年，管理期满可参加新一届“教学能手”的推荐、评选。</w:t>
      </w:r>
    </w:p>
    <w:p>
      <w:pPr>
        <w:spacing w:line="360" w:lineRule="auto"/>
        <w:ind w:firstLine="482" w:firstLineChars="200"/>
        <w:rPr>
          <w:rFonts w:asciiTheme="minorEastAsia" w:hAnsiTheme="minorEastAsia"/>
          <w:b/>
          <w:sz w:val="24"/>
        </w:rPr>
      </w:pPr>
      <w:r>
        <w:rPr>
          <w:rFonts w:hint="eastAsia" w:asciiTheme="minorEastAsia" w:hAnsiTheme="minorEastAsia"/>
          <w:b/>
          <w:sz w:val="24"/>
        </w:rPr>
        <w:t>五、“教学能手”的职责</w:t>
      </w:r>
    </w:p>
    <w:p>
      <w:pPr>
        <w:spacing w:line="360" w:lineRule="auto"/>
        <w:ind w:firstLine="480" w:firstLineChars="200"/>
        <w:rPr>
          <w:rFonts w:asciiTheme="minorEastAsia" w:hAnsiTheme="minorEastAsia"/>
          <w:sz w:val="24"/>
        </w:rPr>
      </w:pPr>
      <w:r>
        <w:rPr>
          <w:rFonts w:hint="eastAsia" w:asciiTheme="minorEastAsia" w:hAnsiTheme="minorEastAsia"/>
          <w:sz w:val="24"/>
        </w:rPr>
        <w:t>1. 每年在全校范围内举办公开示范课至少一次；</w:t>
      </w:r>
    </w:p>
    <w:p>
      <w:pPr>
        <w:spacing w:line="360" w:lineRule="auto"/>
        <w:ind w:firstLine="480" w:firstLineChars="200"/>
        <w:rPr>
          <w:rFonts w:asciiTheme="minorEastAsia" w:hAnsiTheme="minorEastAsia"/>
          <w:sz w:val="24"/>
        </w:rPr>
      </w:pPr>
      <w:r>
        <w:rPr>
          <w:rFonts w:hint="eastAsia" w:asciiTheme="minorEastAsia" w:hAnsiTheme="minorEastAsia"/>
          <w:sz w:val="24"/>
        </w:rPr>
        <w:t>2. 指导培养１～２名青年教师，使其教学能力有明显进步。</w:t>
      </w:r>
    </w:p>
    <w:p>
      <w:pPr>
        <w:spacing w:line="360" w:lineRule="auto"/>
        <w:ind w:firstLine="482" w:firstLineChars="200"/>
        <w:rPr>
          <w:rFonts w:asciiTheme="minorEastAsia" w:hAnsiTheme="minorEastAsia"/>
          <w:b/>
          <w:sz w:val="24"/>
        </w:rPr>
      </w:pPr>
      <w:r>
        <w:rPr>
          <w:rFonts w:hint="eastAsia" w:asciiTheme="minorEastAsia" w:hAnsiTheme="minorEastAsia"/>
          <w:b/>
          <w:sz w:val="24"/>
        </w:rPr>
        <w:t>六、本办法由学校教务处负责解释。</w:t>
      </w:r>
    </w:p>
    <w:p>
      <w:pPr>
        <w:spacing w:line="360" w:lineRule="auto"/>
        <w:ind w:firstLine="482" w:firstLineChars="200"/>
        <w:rPr>
          <w:rFonts w:asciiTheme="minorEastAsia" w:hAnsiTheme="minorEastAsia"/>
          <w:b/>
          <w:sz w:val="24"/>
        </w:rPr>
      </w:pPr>
      <w:r>
        <w:rPr>
          <w:rFonts w:hint="eastAsia" w:asciiTheme="minorEastAsia" w:hAnsiTheme="minorEastAsia"/>
          <w:b/>
          <w:sz w:val="24"/>
        </w:rPr>
        <w:t>七、本办法从发文之日起执行，原《内江师范学院教学能手评选办法》（内师院教发[2007]72号）同时废止。</w:t>
      </w:r>
    </w:p>
    <w:p>
      <w:pPr>
        <w:wordWrap w:val="0"/>
        <w:spacing w:line="360" w:lineRule="auto"/>
        <w:ind w:right="560"/>
        <w:rPr>
          <w:rFonts w:asciiTheme="minorEastAsia" w:hAnsiTheme="minorEastAsia"/>
          <w:sz w:val="24"/>
        </w:rPr>
      </w:pPr>
      <w:r>
        <w:rPr>
          <w:rFonts w:hint="eastAsia" w:asciiTheme="minorEastAsia" w:hAnsiTheme="minorEastAsia"/>
          <w:sz w:val="24"/>
        </w:rPr>
        <w:t xml:space="preserve"> </w:t>
      </w:r>
    </w:p>
    <w:p>
      <w:pPr>
        <w:spacing w:line="360" w:lineRule="auto"/>
        <w:jc w:val="right"/>
        <w:rPr>
          <w:rFonts w:asciiTheme="minorEastAsia" w:hAnsiTheme="minorEastAsia"/>
          <w:sz w:val="24"/>
        </w:rPr>
      </w:pPr>
    </w:p>
    <w:p>
      <w:pPr>
        <w:spacing w:line="360" w:lineRule="auto"/>
        <w:jc w:val="right"/>
        <w:rPr>
          <w:rFonts w:asciiTheme="minorEastAsia" w:hAnsiTheme="minorEastAsia"/>
          <w:sz w:val="24"/>
        </w:rPr>
      </w:pPr>
      <w:r>
        <w:rPr>
          <w:rFonts w:hint="eastAsia" w:asciiTheme="minorEastAsia" w:hAnsiTheme="minorEastAsia"/>
          <w:sz w:val="24"/>
        </w:rPr>
        <w:t>2015年5月4日</w:t>
      </w:r>
    </w:p>
    <w:p>
      <w:pPr>
        <w:spacing w:line="360" w:lineRule="auto"/>
        <w:rPr>
          <w:rFonts w:asciiTheme="minorEastAsia" w:hAnsiTheme="minorEastAsia"/>
          <w:sz w:val="24"/>
        </w:rPr>
      </w:pPr>
    </w:p>
    <w:p>
      <w:pPr>
        <w:spacing w:line="360" w:lineRule="auto"/>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宋体" w:hAnsi="宋体"/>
          <w:b/>
          <w:sz w:val="32"/>
          <w:szCs w:val="32"/>
        </w:rPr>
      </w:pPr>
      <w:r>
        <w:rPr>
          <w:rFonts w:hint="eastAsia" w:ascii="宋体" w:hAnsi="宋体"/>
          <w:b/>
          <w:sz w:val="32"/>
          <w:szCs w:val="32"/>
        </w:rPr>
        <w:t>内江师范学院讲课比赛管理办法（修订）</w:t>
      </w:r>
    </w:p>
    <w:p>
      <w:pPr>
        <w:spacing w:line="560" w:lineRule="exact"/>
        <w:ind w:firstLine="562" w:firstLineChars="200"/>
        <w:jc w:val="center"/>
        <w:rPr>
          <w:rFonts w:ascii="宋体" w:hAnsi="宋体"/>
          <w:b/>
          <w:sz w:val="28"/>
          <w:szCs w:val="28"/>
        </w:rPr>
      </w:pPr>
      <w:r>
        <w:rPr>
          <w:rFonts w:hint="eastAsia" w:ascii="宋体" w:hAnsi="宋体"/>
          <w:b/>
          <w:sz w:val="28"/>
          <w:szCs w:val="28"/>
        </w:rPr>
        <w:t>内师教字</w:t>
      </w:r>
      <w:r>
        <w:rPr>
          <w:rFonts w:hint="eastAsia" w:ascii="宋体" w:hAnsi="宋体" w:cs="宋体"/>
          <w:b/>
          <w:bCs/>
          <w:spacing w:val="-6"/>
          <w:kern w:val="0"/>
          <w:sz w:val="28"/>
          <w:szCs w:val="28"/>
        </w:rPr>
        <w:t>〔201</w:t>
      </w:r>
      <w:r>
        <w:rPr>
          <w:rFonts w:ascii="宋体" w:hAnsi="宋体" w:cs="宋体"/>
          <w:b/>
          <w:bCs/>
          <w:spacing w:val="-6"/>
          <w:kern w:val="0"/>
          <w:sz w:val="28"/>
          <w:szCs w:val="28"/>
        </w:rPr>
        <w:t>5</w:t>
      </w:r>
      <w:r>
        <w:rPr>
          <w:rFonts w:hint="eastAsia" w:ascii="宋体" w:hAnsi="宋体" w:cs="宋体"/>
          <w:b/>
          <w:bCs/>
          <w:spacing w:val="-6"/>
          <w:kern w:val="0"/>
          <w:sz w:val="28"/>
          <w:szCs w:val="28"/>
        </w:rPr>
        <w:t>〕</w:t>
      </w:r>
      <w:r>
        <w:rPr>
          <w:rFonts w:hint="eastAsia" w:ascii="宋体" w:hAnsi="宋体"/>
          <w:b/>
          <w:sz w:val="28"/>
          <w:szCs w:val="28"/>
        </w:rPr>
        <w:t>44号</w:t>
      </w:r>
    </w:p>
    <w:p>
      <w:pPr>
        <w:spacing w:line="560" w:lineRule="exact"/>
        <w:ind w:firstLine="560" w:firstLineChars="200"/>
        <w:rPr>
          <w:rFonts w:ascii="宋体" w:hAnsi="宋体"/>
          <w:sz w:val="28"/>
          <w:szCs w:val="28"/>
        </w:rPr>
      </w:pPr>
    </w:p>
    <w:p>
      <w:pPr>
        <w:spacing w:line="360" w:lineRule="auto"/>
        <w:ind w:firstLine="480" w:firstLineChars="200"/>
        <w:rPr>
          <w:rFonts w:ascii="宋体" w:hAnsi="宋体"/>
          <w:sz w:val="24"/>
        </w:rPr>
      </w:pPr>
      <w:r>
        <w:rPr>
          <w:rFonts w:hint="eastAsia" w:ascii="宋体" w:hAnsi="宋体"/>
          <w:sz w:val="24"/>
        </w:rPr>
        <w:t>为了鼓励我校教师积极进行课堂教学研究，不断提高教学能力与水平，为我校教师提供展示教学风采、交流教学经验的平台，学校定期举行各类讲课比赛。为规范各类讲课比赛</w:t>
      </w:r>
      <w:r>
        <w:rPr>
          <w:rFonts w:hint="eastAsia" w:ascii="宋体" w:hAnsi="宋体"/>
          <w:color w:val="000000"/>
          <w:sz w:val="24"/>
        </w:rPr>
        <w:t>的</w:t>
      </w:r>
      <w:r>
        <w:rPr>
          <w:rFonts w:hint="eastAsia" w:ascii="宋体" w:hAnsi="宋体"/>
          <w:sz w:val="24"/>
        </w:rPr>
        <w:t>开展，特制定本管理办法。</w:t>
      </w:r>
    </w:p>
    <w:p>
      <w:pPr>
        <w:spacing w:line="360" w:lineRule="auto"/>
        <w:ind w:firstLine="482" w:firstLineChars="200"/>
        <w:rPr>
          <w:rFonts w:ascii="宋体" w:hAnsi="宋体"/>
          <w:b/>
          <w:sz w:val="24"/>
        </w:rPr>
      </w:pPr>
      <w:r>
        <w:rPr>
          <w:rFonts w:hint="eastAsia" w:ascii="宋体" w:hAnsi="宋体"/>
          <w:b/>
          <w:sz w:val="24"/>
        </w:rPr>
        <w:t>一、比赛类型与参赛对象</w:t>
      </w:r>
    </w:p>
    <w:p>
      <w:pPr>
        <w:spacing w:line="360" w:lineRule="auto"/>
        <w:ind w:firstLine="480"/>
        <w:rPr>
          <w:rFonts w:ascii="宋体" w:hAnsi="宋体"/>
          <w:sz w:val="24"/>
        </w:rPr>
      </w:pPr>
      <w:r>
        <w:rPr>
          <w:rFonts w:hint="eastAsia" w:ascii="宋体" w:hAnsi="宋体"/>
          <w:sz w:val="24"/>
        </w:rPr>
        <w:t>学校讲课比赛分青年教师讲课比赛和优质课讲课比赛两种。凡我校在职在岗专任教师均可报名参加比赛：年龄在45岁以下的教师可报名参加青年教师讲课比赛；优质课讲课比赛不限年龄。</w:t>
      </w:r>
    </w:p>
    <w:p>
      <w:pPr>
        <w:spacing w:line="360" w:lineRule="auto"/>
        <w:ind w:firstLine="480"/>
        <w:rPr>
          <w:rFonts w:ascii="宋体" w:hAnsi="宋体"/>
          <w:sz w:val="24"/>
        </w:rPr>
      </w:pPr>
      <w:r>
        <w:rPr>
          <w:rFonts w:hint="eastAsia" w:ascii="宋体" w:hAnsi="宋体"/>
          <w:sz w:val="24"/>
        </w:rPr>
        <w:t>校级以上各种讲课比赛，按照主办单位的要求进行。优先推荐校级讲课比赛获奖者参加。</w:t>
      </w:r>
    </w:p>
    <w:p>
      <w:pPr>
        <w:spacing w:line="360" w:lineRule="auto"/>
        <w:ind w:firstLine="482" w:firstLineChars="200"/>
        <w:rPr>
          <w:rFonts w:ascii="宋体" w:hAnsi="宋体"/>
          <w:b/>
          <w:sz w:val="24"/>
        </w:rPr>
      </w:pPr>
      <w:r>
        <w:rPr>
          <w:rFonts w:hint="eastAsia" w:ascii="宋体" w:hAnsi="宋体"/>
          <w:b/>
          <w:sz w:val="24"/>
        </w:rPr>
        <w:t>二、比赛时间</w:t>
      </w:r>
    </w:p>
    <w:p>
      <w:pPr>
        <w:spacing w:line="360" w:lineRule="auto"/>
        <w:ind w:firstLine="480"/>
        <w:rPr>
          <w:rFonts w:ascii="宋体" w:hAnsi="宋体"/>
          <w:sz w:val="24"/>
        </w:rPr>
      </w:pPr>
      <w:r>
        <w:rPr>
          <w:rFonts w:hint="eastAsia" w:ascii="宋体" w:hAnsi="宋体"/>
          <w:sz w:val="24"/>
        </w:rPr>
        <w:t>每两年举行一次。秋季学期各教学单位组织初赛，春季学期学校组织决赛。</w:t>
      </w:r>
    </w:p>
    <w:p>
      <w:pPr>
        <w:spacing w:line="360" w:lineRule="auto"/>
        <w:ind w:firstLine="482" w:firstLineChars="200"/>
        <w:rPr>
          <w:rFonts w:ascii="宋体" w:hAnsi="宋体"/>
          <w:b/>
          <w:sz w:val="24"/>
        </w:rPr>
      </w:pPr>
      <w:r>
        <w:rPr>
          <w:rFonts w:hint="eastAsia" w:ascii="宋体" w:hAnsi="宋体"/>
          <w:b/>
          <w:sz w:val="24"/>
        </w:rPr>
        <w:t>三、比赛程序</w:t>
      </w:r>
    </w:p>
    <w:p>
      <w:pPr>
        <w:spacing w:line="360" w:lineRule="auto"/>
        <w:ind w:firstLine="480" w:firstLineChars="200"/>
        <w:rPr>
          <w:rFonts w:ascii="宋体" w:hAnsi="宋体"/>
          <w:sz w:val="24"/>
        </w:rPr>
      </w:pPr>
      <w:r>
        <w:rPr>
          <w:rFonts w:hint="eastAsia" w:ascii="宋体" w:hAnsi="宋体"/>
          <w:sz w:val="24"/>
        </w:rPr>
        <w:t>1. 各教学单位组织初赛，推选教师参加学校决赛。</w:t>
      </w:r>
    </w:p>
    <w:p>
      <w:pPr>
        <w:spacing w:line="360" w:lineRule="auto"/>
        <w:ind w:firstLine="480" w:firstLineChars="200"/>
        <w:rPr>
          <w:rFonts w:ascii="宋体" w:hAnsi="宋体"/>
          <w:sz w:val="24"/>
        </w:rPr>
      </w:pPr>
      <w:r>
        <w:rPr>
          <w:rFonts w:hint="eastAsia" w:ascii="宋体" w:hAnsi="宋体"/>
          <w:sz w:val="24"/>
        </w:rPr>
        <w:t>2. 学校组织专家对各单位推荐的教师进行评选。</w:t>
      </w:r>
    </w:p>
    <w:p>
      <w:pPr>
        <w:spacing w:line="360" w:lineRule="auto"/>
        <w:ind w:firstLine="480" w:firstLineChars="200"/>
        <w:rPr>
          <w:rFonts w:ascii="宋体" w:hAnsi="宋体"/>
          <w:sz w:val="24"/>
        </w:rPr>
      </w:pPr>
      <w:r>
        <w:rPr>
          <w:rFonts w:hint="eastAsia" w:ascii="宋体" w:hAnsi="宋体"/>
          <w:sz w:val="24"/>
        </w:rPr>
        <w:t>3. 根据专家评议结果，评审小组提出讲课比赛获奖名单。</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pPr>
      <w:r>
        <w:rPr>
          <w:rFonts w:hint="eastAsia"/>
        </w:rPr>
        <w:t>4. 报校学术委员会评审并公示。</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80" w:firstLineChars="200"/>
      </w:pPr>
      <w:r>
        <w:rPr>
          <w:rFonts w:hint="eastAsia"/>
        </w:rPr>
        <w:t>5. 公示无异议，报校长办公会审定。</w:t>
      </w:r>
    </w:p>
    <w:p>
      <w:pPr>
        <w:spacing w:line="360" w:lineRule="auto"/>
        <w:ind w:firstLine="482" w:firstLineChars="200"/>
        <w:rPr>
          <w:rFonts w:ascii="宋体" w:hAnsi="宋体"/>
          <w:b/>
          <w:sz w:val="24"/>
        </w:rPr>
      </w:pPr>
      <w:r>
        <w:rPr>
          <w:rFonts w:hint="eastAsia" w:ascii="宋体" w:hAnsi="宋体"/>
          <w:b/>
          <w:sz w:val="24"/>
        </w:rPr>
        <w:t>四、奖励办法</w:t>
      </w:r>
    </w:p>
    <w:p>
      <w:pPr>
        <w:spacing w:line="360" w:lineRule="auto"/>
        <w:ind w:firstLine="480" w:firstLineChars="200"/>
        <w:rPr>
          <w:rFonts w:ascii="宋体" w:hAnsi="宋体"/>
          <w:sz w:val="24"/>
        </w:rPr>
      </w:pPr>
      <w:r>
        <w:rPr>
          <w:rFonts w:hint="eastAsia" w:ascii="宋体" w:hAnsi="宋体"/>
          <w:sz w:val="24"/>
        </w:rPr>
        <w:t xml:space="preserve">评审小组办公室按照专家评课、同行评课和学生评教的结果，按7：2：1的权重对参赛教师的课堂教学进行综合评分，设优秀个人奖一、二、三等奖若干名。学校向各等级获奖教师颁发相应奖金及证书。获奖教师在现有职称基础上，晋升高一级职称时可免于教学质量考核。在教学改革研究项目立项上给予政策倾斜，优先安排其外出进修和学术交流。 </w:t>
      </w:r>
    </w:p>
    <w:p>
      <w:pPr>
        <w:pStyle w:val="10"/>
        <w:snapToGrid w:val="0"/>
        <w:spacing w:before="0" w:beforeAutospacing="0" w:after="0" w:afterAutospacing="0" w:line="360" w:lineRule="auto"/>
        <w:ind w:firstLine="482" w:firstLineChars="200"/>
        <w:rPr>
          <w:b/>
          <w:kern w:val="2"/>
        </w:rPr>
      </w:pPr>
      <w:r>
        <w:rPr>
          <w:rFonts w:hint="eastAsia" w:cs="Times New Roman"/>
          <w:b/>
          <w:kern w:val="2"/>
        </w:rPr>
        <w:t>五、本办法</w:t>
      </w:r>
      <w:r>
        <w:rPr>
          <w:rFonts w:hint="eastAsia"/>
          <w:b/>
          <w:kern w:val="2"/>
        </w:rPr>
        <w:t>由学校教务处、人事处负责解释，</w:t>
      </w:r>
    </w:p>
    <w:p>
      <w:pPr>
        <w:pStyle w:val="10"/>
        <w:snapToGrid w:val="0"/>
        <w:spacing w:before="0" w:beforeAutospacing="0" w:after="0" w:afterAutospacing="0" w:line="360" w:lineRule="auto"/>
        <w:ind w:firstLine="482" w:firstLineChars="200"/>
        <w:rPr>
          <w:b/>
          <w:kern w:val="2"/>
        </w:rPr>
      </w:pPr>
      <w:r>
        <w:rPr>
          <w:rFonts w:hint="eastAsia"/>
          <w:b/>
          <w:kern w:val="2"/>
        </w:rPr>
        <w:t>六、本办法自发文之日起执行，原《内江师范学院青年教师讲课比赛管理办法》（内师教字[2003]184号）同时废止。</w:t>
      </w:r>
    </w:p>
    <w:p>
      <w:pPr>
        <w:spacing w:line="360" w:lineRule="auto"/>
        <w:jc w:val="right"/>
        <w:rPr>
          <w:rFonts w:ascii="宋体" w:hAnsi="宋体"/>
          <w:sz w:val="24"/>
        </w:rPr>
      </w:pPr>
      <w:r>
        <w:rPr>
          <w:rFonts w:hint="eastAsia" w:ascii="宋体" w:hAnsi="宋体"/>
          <w:sz w:val="24"/>
        </w:rPr>
        <w:t>2015年5月4日</w:t>
      </w:r>
      <w:r>
        <w:rPr>
          <w:rFonts w:hint="eastAsia" w:ascii="宋体" w:hAnsi="宋体"/>
          <w:sz w:val="24"/>
        </w:rPr>
        <w:br w:type="page"/>
      </w:r>
    </w:p>
    <w:p>
      <w:pPr>
        <w:spacing w:line="560" w:lineRule="exact"/>
        <w:jc w:val="center"/>
        <w:rPr>
          <w:rFonts w:ascii="宋体" w:hAnsi="宋体"/>
          <w:b/>
          <w:sz w:val="32"/>
          <w:szCs w:val="32"/>
        </w:rPr>
      </w:pPr>
      <w:r>
        <w:rPr>
          <w:rFonts w:hint="eastAsia" w:ascii="宋体" w:hAnsi="宋体"/>
          <w:b/>
          <w:sz w:val="32"/>
          <w:szCs w:val="32"/>
        </w:rPr>
        <w:t>内江师范学院教学研究室工作条例（修订）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内师教字〔2015〕52号</w:t>
      </w:r>
    </w:p>
    <w:p>
      <w:pPr>
        <w:spacing w:line="560" w:lineRule="exact"/>
        <w:ind w:firstLine="420" w:firstLineChars="200"/>
        <w:jc w:val="center"/>
        <w:rPr>
          <w:rFonts w:ascii="方正仿宋简体" w:eastAsia="方正仿宋简体"/>
          <w:szCs w:val="32"/>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为搞好学校基层教学组织建设，推动教学研究、教学改革和学术研究活动的开展，特制定本条例。</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第一条</w:t>
      </w:r>
      <w:r>
        <w:rPr>
          <w:rFonts w:hint="eastAsia" w:asciiTheme="minorEastAsia" w:hAnsiTheme="minorEastAsia"/>
          <w:sz w:val="24"/>
          <w:szCs w:val="24"/>
        </w:rPr>
        <w:t xml:space="preserve">  学校教学研究室 (简称教研室 ) 是按学科、专业或课程设置的基层教学研究组织，其设置由各教学单位自主决定。教研室是联系教师和学生双方的纽带，教研室的教学业务管理是学校教学管理的基础环节。教研室在所属教学单位负责人领导下开展工作。</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第二条</w:t>
      </w:r>
      <w:r>
        <w:rPr>
          <w:rFonts w:hint="eastAsia" w:asciiTheme="minorEastAsia" w:hAnsiTheme="minorEastAsia"/>
          <w:sz w:val="24"/>
          <w:szCs w:val="24"/>
        </w:rPr>
        <w:t xml:space="preserve">  全校专任教师、兼职教师、实验技术人员须编入相应教研室，参加教研活动。教研室可根据具体情况设若干教学组。</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第三条</w:t>
      </w:r>
      <w:r>
        <w:rPr>
          <w:rFonts w:hint="eastAsia" w:asciiTheme="minorEastAsia" w:hAnsiTheme="minorEastAsia"/>
          <w:sz w:val="24"/>
          <w:szCs w:val="24"/>
        </w:rPr>
        <w:t xml:space="preserve">  教研室的主要任务是：根据学校办学指导思想和人才培养目标，组织相关的教学活动和教学基本建设工作；开展教学研究、教学改革和学术研究活动。</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第四条</w:t>
      </w:r>
      <w:r>
        <w:rPr>
          <w:rFonts w:hint="eastAsia" w:asciiTheme="minorEastAsia" w:hAnsiTheme="minorEastAsia"/>
          <w:sz w:val="24"/>
          <w:szCs w:val="24"/>
        </w:rPr>
        <w:t xml:space="preserve">  教研室工作职责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1.执行教学计划，落实本室各门课程教学任务。组织教师制订教学大纲、考试大纲、编制教学计划进度表、撰写教案，做好试题(卷)库建设工作，各类教学观摩研讨活动等。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2.按照学校、各教学单位关于课程建设和教师教学质量的要求，进行课程建设、各个教学环节的检查以及教学质量分析评价，并做好教学信息反馈，总结改进教学工作，提高教学质量。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3.开展教学研究和教学改革。组织教师对学科专业发展、教学内容和课程体系建设、教学方法和手段等方面的改革进行探索，申报教研课题和教改项目，并做好成果推广工作。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组织教材建设工作，选用或自编高质量的教材。做好教学资料、仪器设备等的建设工作，改善教学条件，并提高教学辅助过程的质量管理。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5.根据学科、专业发展的要求，组织本学科、专业和相关学科、专业的学术研究，编制科研计划，申报科研课题。坚持科研为教学服务和为社会服务的方针，积极开展学术交流活动。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6.在学校、教学单位的统筹安排下，根据学科建设规划，制定本室师资培养计划。做好教师培养、培训工作，不断提高教师的业务水平，逐步形成结构合理、素质较高的教师队伍。</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第五条</w:t>
      </w:r>
      <w:r>
        <w:rPr>
          <w:rFonts w:hint="eastAsia" w:asciiTheme="minorEastAsia" w:hAnsiTheme="minorEastAsia"/>
          <w:sz w:val="24"/>
          <w:szCs w:val="24"/>
        </w:rPr>
        <w:t xml:space="preserve">  教研室工作经费由教学业务费专项支持；经费的使用按学校相关管理办法由教研室主任负责。</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第六条</w:t>
      </w:r>
      <w:r>
        <w:rPr>
          <w:rFonts w:hint="eastAsia" w:asciiTheme="minorEastAsia" w:hAnsiTheme="minorEastAsia"/>
          <w:sz w:val="24"/>
          <w:szCs w:val="24"/>
        </w:rPr>
        <w:t xml:space="preserve">  教研室工作制度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1.学习交流制度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学校、教学单位安排，坚持政治理论、时势政策、职业道德等方面的学习；每月至少进行一次有主题的教学研究活动，有计划地开展教育教学理论、教研科研、教学改革、教书育人情况等研究与交流活动；分别于期初、期中、期末召开教研室工作会议，研讨和处理工作中的重要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2.听课制度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教研室（副）主任每学期须听本室任课教师承担的课程，听课时数按照学校领导干部听课制度执行。每学期组织开展公开课(研究课)1至2次，全室教师必须参加并开展研讨。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3.检查制度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开展教学工作常规检查；根据学校统一安排，或自主进行专项检查、评估及考核。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4.教学档案建设制度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学校档案管理相关办法，收集、整理、保存相关档案资料，包括有关教学工作的文件；工作计划、总结；教研活动材料；教学工作检查、评估、考核的材料；教学资料和仪器设备建设、教学辅助工作等方面的材料；其他有关材料。</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第七条</w:t>
      </w:r>
      <w:r>
        <w:rPr>
          <w:rFonts w:hint="eastAsia" w:asciiTheme="minorEastAsia" w:hAnsiTheme="minorEastAsia"/>
          <w:sz w:val="24"/>
          <w:szCs w:val="24"/>
        </w:rPr>
        <w:t xml:space="preserve">  学校在建设成效明显的教研室中择优遴选教学团队进行立项建设。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教学团队以教研室、实验室、教学基地、实训中心等为建设单位，以课程（群）为建设平台，重点围绕通识教育课程（群）、专业核心课程（群）和实践教学环节（实践教学、学科竞赛等）进行组建。</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第八条</w:t>
      </w:r>
      <w:r>
        <w:rPr>
          <w:rFonts w:hint="eastAsia" w:asciiTheme="minorEastAsia" w:hAnsiTheme="minorEastAsia"/>
          <w:sz w:val="24"/>
          <w:szCs w:val="24"/>
        </w:rPr>
        <w:t xml:space="preserve">  教研室主任由所在教学单位推荐，学校聘任。教研室主任应具有较高的政治思想素质，有一定的专业理论基础、教学科研经验和组织管理协调能力，原则上应具有副高及以上专业技术职称。</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第九条</w:t>
      </w:r>
      <w:r>
        <w:rPr>
          <w:rFonts w:hint="eastAsia" w:asciiTheme="minorEastAsia" w:hAnsiTheme="minorEastAsia"/>
          <w:sz w:val="24"/>
          <w:szCs w:val="24"/>
        </w:rPr>
        <w:t xml:space="preserve">  教研室主任工作职责与权利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1.组织制订教研室年度工作计划和专项工作计划，并组织实施；做好教研室年度工作总结。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2.做好本室教学工作检查、考察、评价工作，保证教研室各项工作规范有序进行。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3.分配本室教师的教学任务，组织开展教研、教改、科研和其他学术活动。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组织本室教师业务进修，提出本室师资补充、聘任意见；对教师的考核、晋升、奖惩提出具体意见。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组织本室所涉课程考核的命题、审题、阅卷、复查等相关工作。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6.教研室主任的待遇由人事处按照相关制度核定；各教学单位按照教研室主任的工作量给予合理的报酬。</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第十条</w:t>
      </w:r>
      <w:r>
        <w:rPr>
          <w:rFonts w:hint="eastAsia" w:asciiTheme="minorEastAsia" w:hAnsiTheme="minorEastAsia"/>
          <w:sz w:val="24"/>
          <w:szCs w:val="24"/>
        </w:rPr>
        <w:t xml:space="preserve">  教研室工作考核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1.各教学单位对教研室工作计划执行情况、工作状态和质量进行学期考核，并将总结材料报学校备案。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2.各教学单位对教研室主任工作进行年度考核。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3.学校对各教研室建设和工作水平进行评估。</w:t>
      </w:r>
    </w:p>
    <w:p>
      <w:pPr>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第十一条</w:t>
      </w:r>
      <w:r>
        <w:rPr>
          <w:rFonts w:hint="eastAsia" w:asciiTheme="minorEastAsia" w:hAnsiTheme="minorEastAsia"/>
          <w:sz w:val="24"/>
          <w:szCs w:val="24"/>
        </w:rPr>
        <w:t xml:space="preserve">  本条例由教务处负责解释。</w:t>
      </w:r>
    </w:p>
    <w:p>
      <w:pPr>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 xml:space="preserve">第十二条  </w:t>
      </w:r>
      <w:r>
        <w:rPr>
          <w:rFonts w:hint="eastAsia" w:asciiTheme="minorEastAsia" w:hAnsiTheme="minorEastAsia"/>
          <w:sz w:val="24"/>
          <w:szCs w:val="24"/>
        </w:rPr>
        <w:t>本条例自发布之日起实施，原《内江师范学院教学研究室工作条例》（内师教字〔2004〕153号）同时废止。</w:t>
      </w:r>
    </w:p>
    <w:p>
      <w:pPr>
        <w:spacing w:line="360" w:lineRule="auto"/>
        <w:ind w:firstLine="480" w:firstLineChars="200"/>
        <w:jc w:val="lef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2015年5月22日</w:t>
      </w:r>
    </w:p>
    <w:p>
      <w:pPr>
        <w:spacing w:line="360" w:lineRule="auto"/>
        <w:rPr>
          <w:rFonts w:asciiTheme="minorEastAsia" w:hAnsiTheme="minorEastAsia"/>
          <w:sz w:val="24"/>
          <w:szCs w:val="24"/>
        </w:rPr>
      </w:pPr>
    </w:p>
    <w:p>
      <w:pPr>
        <w:spacing w:line="560" w:lineRule="exact"/>
        <w:jc w:val="center"/>
        <w:rPr>
          <w:rFonts w:asciiTheme="minorEastAsia" w:hAnsiTheme="minorEastAsia"/>
          <w:b/>
          <w:color w:val="000000"/>
          <w:sz w:val="32"/>
          <w:szCs w:val="32"/>
        </w:rPr>
      </w:pPr>
      <w:r>
        <w:rPr>
          <w:rFonts w:hint="eastAsia" w:ascii="宋体" w:hAnsi="宋体"/>
          <w:sz w:val="24"/>
        </w:rPr>
        <w:br w:type="page"/>
      </w:r>
      <w:r>
        <w:rPr>
          <w:rFonts w:hint="eastAsia" w:asciiTheme="majorEastAsia" w:hAnsiTheme="majorEastAsia" w:eastAsiaTheme="majorEastAsia"/>
          <w:b/>
          <w:color w:val="000000"/>
          <w:w w:val="90"/>
          <w:sz w:val="32"/>
          <w:szCs w:val="32"/>
        </w:rPr>
        <w:t>内</w:t>
      </w:r>
      <w:r>
        <w:rPr>
          <w:rFonts w:hint="eastAsia" w:asciiTheme="minorEastAsia" w:hAnsiTheme="minorEastAsia"/>
          <w:b/>
          <w:color w:val="000000"/>
          <w:sz w:val="32"/>
          <w:szCs w:val="32"/>
        </w:rPr>
        <w:t>江师范学院教师教学发展实施办法</w:t>
      </w:r>
    </w:p>
    <w:p>
      <w:pPr>
        <w:spacing w:line="560" w:lineRule="exact"/>
        <w:jc w:val="center"/>
        <w:rPr>
          <w:rFonts w:asciiTheme="minorEastAsia" w:hAnsiTheme="minorEastAsia"/>
          <w:b/>
          <w:color w:val="000000"/>
          <w:sz w:val="28"/>
          <w:szCs w:val="28"/>
        </w:rPr>
      </w:pPr>
      <w:r>
        <w:rPr>
          <w:rFonts w:hint="eastAsia" w:asciiTheme="minorEastAsia" w:hAnsiTheme="minorEastAsia"/>
          <w:b/>
          <w:color w:val="000000"/>
          <w:sz w:val="28"/>
          <w:szCs w:val="28"/>
        </w:rPr>
        <w:t>内师院发〔2014〕47号</w:t>
      </w:r>
    </w:p>
    <w:p>
      <w:pPr>
        <w:spacing w:line="560" w:lineRule="exact"/>
        <w:ind w:firstLine="480" w:firstLineChars="200"/>
        <w:rPr>
          <w:rFonts w:asciiTheme="minorEastAsia" w:hAnsiTheme="minorEastAsia"/>
          <w:color w:val="000000"/>
          <w:sz w:val="24"/>
          <w:szCs w:val="24"/>
        </w:rPr>
      </w:pP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为进一步促进我校教师发展，提升人才培养质量，根据《国家中长期教育改革和发展规划纲要(2010-2020年)》、《教育部 财政部关于“十二五”期间实施“高等学校本科教学质量与教学改革工程”的意见》（</w:t>
      </w:r>
      <w:r>
        <w:rPr>
          <w:rFonts w:hint="eastAsia" w:asciiTheme="minorEastAsia" w:hAnsiTheme="minorEastAsia"/>
          <w:bCs/>
          <w:color w:val="000000"/>
          <w:sz w:val="24"/>
          <w:szCs w:val="24"/>
        </w:rPr>
        <w:t>教高</w:t>
      </w:r>
      <w:r>
        <w:rPr>
          <w:rFonts w:hint="eastAsia" w:asciiTheme="minorEastAsia" w:hAnsiTheme="minorEastAsia"/>
          <w:color w:val="000000"/>
          <w:sz w:val="24"/>
          <w:szCs w:val="24"/>
        </w:rPr>
        <w:t>〔</w:t>
      </w:r>
      <w:r>
        <w:rPr>
          <w:rFonts w:hint="eastAsia" w:asciiTheme="minorEastAsia" w:hAnsiTheme="minorEastAsia"/>
          <w:bCs/>
          <w:color w:val="000000"/>
          <w:sz w:val="24"/>
          <w:szCs w:val="24"/>
        </w:rPr>
        <w:t>2011</w:t>
      </w:r>
      <w:r>
        <w:rPr>
          <w:rFonts w:hint="eastAsia" w:asciiTheme="minorEastAsia" w:hAnsiTheme="minorEastAsia"/>
          <w:color w:val="000000"/>
          <w:sz w:val="24"/>
          <w:szCs w:val="24"/>
        </w:rPr>
        <w:t>〕</w:t>
      </w:r>
      <w:r>
        <w:rPr>
          <w:rFonts w:hint="eastAsia" w:asciiTheme="minorEastAsia" w:hAnsiTheme="minorEastAsia"/>
          <w:bCs/>
          <w:color w:val="000000"/>
          <w:sz w:val="24"/>
          <w:szCs w:val="24"/>
        </w:rPr>
        <w:t>6号）</w:t>
      </w:r>
      <w:r>
        <w:rPr>
          <w:rFonts w:hint="eastAsia" w:asciiTheme="minorEastAsia" w:hAnsiTheme="minorEastAsia"/>
          <w:color w:val="000000"/>
          <w:sz w:val="24"/>
          <w:szCs w:val="24"/>
        </w:rPr>
        <w:t>以及《教育部关于全面提高高等教育质量的若干意见》（教高〔2012〕4号）等文件精神，现就我校教师教学发展工作制定本实施办法。</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一、指导思想</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坚持以邓小平理论和“三个代表”重要思想为指导，深入贯彻科学发展观，全面贯彻党的教育方针，贯彻落实教育规划纲要和有关教师发展的各项政策和法规，依托学校人才培养模式改革，服务于培养应用型、复合型、技能型专门人才的需要，与学校综合改革有机协同，促进教师综合能力可持续性发展。积极创新教师教学能力培养培训新机制、新模式，为教师教学发展提供专业化的指导、服务与支持，提高教学能力，提升教学艺术，增强教学效果，实现教师教学培训常态化、制度化，将内江师范学院教师教学发展中心建设成为有特色的地方本科院校教师教学发展中心。 </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二、总体目标</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以提升人才培养质量为核心，以广大教师为主体，开展教师培训、教学改革、研究交流、咨询服务等各项工作，构筑发展平台，将教师教学发展中心建设成为：教师发展指导中心、教学技术培训中心、教改教研引领支持中心、教学资源研发支助中心、教师沙龙交流中心、教情学情诊断分析中心、校地联动教师服务中心。满足教师个性化专业化发展以及人才培养个性化需要，提升我校中青年教师教学技能，加大教师教学能力的建设力度和广度，引导和帮助教师实现人才培养能力提升，构建教师终身教学发展体系，建设高素质教师队伍，进一步完善教师教学发展机制，全面提高本科教学质量。 </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三、主要措施</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（一）完善教师教学发展管理制度</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制定面向学校全体教师，重点是助教、中青年教师的培训制度，将培训纳入教师职业发展视角，通过优化教师培训方案，更新教师培训内容，促进教师更新教学理念、掌握先进的教育技术和教学技能，推动教师团队建设与教学能力整体水平的提高。</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加强对教师特别是中青年教师的业务水平、教学能力、教学效果等考核、检查、评估和交流，帮助教师发现与解决教学方面的问题，促进教师教学发展工作的开展，确保教学改革卓有成效，教学质量不断提升。</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（二）构建教师教学发展培养体系</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以全面提升教育教学质量，培育一批教学名师与中青年骨干教师为目标，整合学校教师教学发展工作，建立全面的教师教学发展培养体系。</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 加强新入职教师的教学技能培训</w:t>
      </w:r>
    </w:p>
    <w:p>
      <w:pPr>
        <w:spacing w:line="360" w:lineRule="auto"/>
        <w:ind w:firstLine="560"/>
        <w:rPr>
          <w:rFonts w:asciiTheme="minorEastAsia" w:hAnsiTheme="minorEastAsia"/>
          <w:color w:val="000000"/>
          <w:sz w:val="24"/>
          <w:szCs w:val="24"/>
        </w:rPr>
      </w:pPr>
      <w:r>
        <w:rPr>
          <w:rFonts w:hint="eastAsia" w:asciiTheme="minorEastAsia" w:hAnsiTheme="minorEastAsia"/>
          <w:color w:val="000000"/>
          <w:sz w:val="24"/>
          <w:szCs w:val="24"/>
        </w:rPr>
        <w:t>以新入职教师为培训对象，通过专题讲座、课堂观摩、微格教学、交流指导等多种形式，帮助教师掌握教育教学的基本技能，了解学校人文文化，尽快适应并融入新岗位。将入职教育培训作为青年教师入职的准入资格与人才评价的必要依据。</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 开展教师专项能力提升工作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针对目前教师队伍存在的主要问题及教师个性化发展需要，以及部分发展更新较快的领域，如现代教育技术、教育心理、教学方法等，分级分批开展专项能力提升工作。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构建多样化的教学发展模式</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以提升本科教学质量为核心，构建多样化的教学发展模式。针对不同层次，不同队伍的特点，逐步由本科教师队伍培训辐射至实验教师、基础课教师与教育管理人员等队伍培训，实现人才培养质量的全面提高。</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（三）组织教师教学发展咨询</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color w:val="000000"/>
          <w:kern w:val="2"/>
        </w:rPr>
      </w:pPr>
      <w:r>
        <w:rPr>
          <w:rFonts w:hint="eastAsia" w:cs="Times New Roman" w:asciiTheme="minorEastAsia" w:hAnsiTheme="minorEastAsia" w:eastAsiaTheme="minorEastAsia"/>
          <w:color w:val="000000"/>
          <w:kern w:val="2"/>
        </w:rPr>
        <w:t>建立专门的咨询室，组建咨询团队，开展由专家指导的教师教学咨询服务工作，通过课堂观摩、录像及分析、微格教学、教与学咨询等方式，为需要的教师提供教学咨询、诊断与建议，进行个别辅导和帮助。</w:t>
      </w:r>
    </w:p>
    <w:p>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（四）加强教学改革研究与探索</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 建设高水平、有特色的教育教学体系；</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2. 深入开展各级各类教育教学改革研究项目，特别是实施卓越人才培养计划；</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3. 推进公共基础课、学科平台课和探究式专业课建设；</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4. 推进学业导师制的实施；</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5. 大力开展教学改革研究与学术成果出版，鼓励教师编写出版优质教材。</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（五）搭建互助学习与交流研讨平台</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 定期开展教学交流活动。开展教师讲课比赛、教学公开观摩课，全校性的教学研讨会等活动，鼓励教学单位开展形式多样、主题丰富的教学沙龙活动，为教师分享教学心得、经验搭建支持平台，定期邀请国内外教学名师来校指导交流，在全校范围内营造良好的教学交流氛围。</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 建立教师教学发展中心网络平台。建立教师教学发展网络平台，为教师自主学习与个性化发展提供平台与技术支持，丰富教师专业发展的共享资源，建立针对本校教师队伍的在线教学技能测试与支持系统，为教师提供方便快捷的教学诊断与测试服务。</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 开发和建设优质教学资源。教师教学发展中心将汇聚本校教学名师、优秀教师等高水平师资，整合校内优质教学资源，形成共享机制，为提高教师业务水平和教学能力提供物质保障以及交流研讨的平台。</w:t>
      </w:r>
    </w:p>
    <w:p>
      <w:pPr>
        <w:pStyle w:val="22"/>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（六）推动协同创新的教学发展示范模式</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充分利用地方本科院校的建设优势，发挥好教师教学发展工作的示范辐射职能，扩大校际、校地联动参与面，完善联动机制，提高联动实效性，建立校地合作、校企合作等“双赢”与“多赢”的协调创新模式。</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四、保障机制</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（一）组织保障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学校成立“教师教学发展领导小组”，负责学校教师教学发展工作及重要事务的决策，并指导教师教学发展中心开展工作。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（二）机构保障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教师教学发展中心为学校直属机构，由主管教学工作的副校长兼任主任，教务处和人事处处长兼任副主任，挂靠教务处，开展教师教学发展工作。教师教学发展中心下设办公室、教师培训与咨询服务部、教学改革与教学评价部、教学研究与教学交流部，负责中心工作的具体实施。</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（三）政策保障</w:t>
      </w:r>
    </w:p>
    <w:p>
      <w:pPr>
        <w:pStyle w:val="23"/>
        <w:spacing w:line="360" w:lineRule="auto"/>
        <w:ind w:firstLine="480" w:firstLineChars="20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sz w:val="24"/>
          <w:szCs w:val="24"/>
        </w:rPr>
        <w:t>按照学校人事管理相关政策，</w:t>
      </w:r>
      <w:r>
        <w:rPr>
          <w:rFonts w:hint="eastAsia" w:asciiTheme="minorEastAsia" w:hAnsiTheme="minorEastAsia" w:eastAsiaTheme="minorEastAsia"/>
          <w:color w:val="000000"/>
          <w:kern w:val="2"/>
          <w:sz w:val="24"/>
          <w:szCs w:val="24"/>
        </w:rPr>
        <w:t>新入职教师必须完成教学技能培训学时，并作为申报高等学校教师资格和定级的必备条件之一；每位教师只有修满任现职以来的规定学时（五年一周期不少于360学时或平均每年72学时），才能申报晋升高一级教师专业技术职务任职资格。</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（四）经费保障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学校设立教师教学发展专项经费，由计财处统一管理，教师教学发展中心负责人对经费使用的规范性负责。设立“内江师范学院青年教师发展基金”，搭建青年教师成长平台，提升教学技能和教学研究水平。</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（五）后勤保障</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1. 学校为教师教学发展工作的开展提供必要的人员配备、工作场所、设备和网络环境等。 </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2. 学校协调教师教学发展工作中相关部门的关系，以便于工作顺利开展。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2014年5月13日</w:t>
      </w:r>
    </w:p>
    <w:p>
      <w:pPr>
        <w:spacing w:line="360" w:lineRule="auto"/>
        <w:rPr>
          <w:rFonts w:asciiTheme="minorEastAsia" w:hAnsiTheme="minorEastAsia"/>
          <w:sz w:val="24"/>
          <w:szCs w:val="24"/>
        </w:rPr>
      </w:pPr>
    </w:p>
    <w:p>
      <w:pPr>
        <w:spacing w:line="594" w:lineRule="exact"/>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inorEastAsia" w:hAnsiTheme="minorEastAsia"/>
          <w:b/>
          <w:sz w:val="32"/>
          <w:szCs w:val="32"/>
        </w:rPr>
      </w:pPr>
      <w:r>
        <w:rPr>
          <w:rFonts w:hint="eastAsia" w:asciiTheme="minorEastAsia" w:hAnsiTheme="minorEastAsia"/>
          <w:b/>
          <w:sz w:val="32"/>
          <w:szCs w:val="32"/>
        </w:rPr>
        <w:t>内江师范学院教师教学发展中心管理办法</w:t>
      </w:r>
    </w:p>
    <w:p>
      <w:pPr>
        <w:spacing w:line="560" w:lineRule="exact"/>
        <w:jc w:val="center"/>
        <w:rPr>
          <w:rFonts w:asciiTheme="minorEastAsia" w:hAnsiTheme="minorEastAsia"/>
          <w:b/>
          <w:sz w:val="28"/>
          <w:szCs w:val="28"/>
        </w:rPr>
      </w:pPr>
      <w:r>
        <w:rPr>
          <w:rFonts w:hint="eastAsia" w:asciiTheme="minorEastAsia" w:hAnsiTheme="minorEastAsia"/>
          <w:b/>
          <w:sz w:val="28"/>
          <w:szCs w:val="28"/>
        </w:rPr>
        <w:t>内师院发〔2014〕48号</w:t>
      </w:r>
    </w:p>
    <w:p>
      <w:pPr>
        <w:widowControl/>
        <w:spacing w:line="560" w:lineRule="exact"/>
        <w:ind w:firstLine="422" w:firstLineChars="200"/>
        <w:jc w:val="left"/>
        <w:rPr>
          <w:rFonts w:asciiTheme="minorEastAsia" w:hAnsiTheme="minorEastAsia"/>
          <w:b/>
          <w:szCs w:val="32"/>
        </w:rPr>
      </w:pP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根据《教育部、财政部关于“十二五”期间实施“高等学校本科教学质量与教学改革工程”的意见》（教高〔2011〕6号）、《国务院关于加强教师队伍建设的意见》（国发〔2012〕41号）以及《内江师范学院关于进一步加强教师队伍建设的实施意见》（内师院发〔2013〕5号）等文件精神，为加强对培训工作的管理，实现培训目标，提高培训研修质量，特制订以下管理办法。</w:t>
      </w:r>
    </w:p>
    <w:p>
      <w:pPr>
        <w:spacing w:line="360" w:lineRule="auto"/>
        <w:ind w:firstLine="482" w:firstLineChars="200"/>
        <w:rPr>
          <w:rFonts w:asciiTheme="minorEastAsia" w:hAnsiTheme="minorEastAsia"/>
          <w:b/>
          <w:kern w:val="0"/>
          <w:sz w:val="24"/>
          <w:szCs w:val="24"/>
        </w:rPr>
      </w:pPr>
      <w:r>
        <w:rPr>
          <w:rFonts w:hint="eastAsia" w:asciiTheme="minorEastAsia" w:hAnsiTheme="minorEastAsia"/>
          <w:b/>
          <w:kern w:val="0"/>
          <w:sz w:val="24"/>
          <w:szCs w:val="24"/>
        </w:rPr>
        <w:t>一、学员管理</w:t>
      </w: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1. 参训教师</w:t>
      </w:r>
      <w:r>
        <w:rPr>
          <w:rFonts w:hint="eastAsia" w:asciiTheme="minorEastAsia" w:hAnsiTheme="minorEastAsia"/>
          <w:sz w:val="24"/>
          <w:szCs w:val="24"/>
        </w:rPr>
        <w:t>自觉遵守国家的政策、法规以及学校的规章制度，遵守课堂纪律，</w:t>
      </w:r>
      <w:r>
        <w:rPr>
          <w:rFonts w:hint="eastAsia" w:asciiTheme="minorEastAsia" w:hAnsiTheme="minorEastAsia"/>
          <w:kern w:val="0"/>
          <w:sz w:val="24"/>
          <w:szCs w:val="24"/>
        </w:rPr>
        <w:t>树立终身学习的理念，本着谦虚谨慎、团结互助的精神，克服困难，勤奋学习，树立集体荣誉感，共同组建教师专业发展共同体。</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实行学员自主管理和自主学习，培训班建立班级联络员，以组为基本活动单位，每个组评选一名组长，组织和带领本组成员完成培训任务。</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学员在集中学习期间，必须保质保量地参加全部的培训活动，完成教师布置的任务和学习反思；按照指导教师的安排和要求，积极参与教学研讨。</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培训期间一般不得请假，如遇特殊原因必须请假者，按照有关程序请假，教学单位负责人签章，教师教学发展中心备案；假满后及时到教师教学发展中心销假；培训期间累计缺课达三分之一以上者，本次培训不予结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二、教学管理</w:t>
      </w: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1. 根据培训目标和课程设置要求，有针对性聘请校内外教学水平高、责任心强的教育教学专家授课。</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教师培训的主要形式包括校本培训、专业课程进修、外出培训、有考核的自学、网络培训、学员互动交流等。</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集中培训采用灵活多样的方式进行考核。考核合格，颁发学时证明并记相应培训学时。考核结果分优秀、良好、合格与不合格。其中，优秀比例不超过20%，同时发放荣誉证书。</w:t>
      </w:r>
    </w:p>
    <w:p>
      <w:pPr>
        <w:pStyle w:val="23"/>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三、培训学时管理与认定</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实行五年一周期不少于360学时的教师全员培训，实施教师资格定期注册管理。</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（一）新入职教师必须完成</w:t>
      </w:r>
      <w:r>
        <w:rPr>
          <w:rFonts w:hint="eastAsia" w:asciiTheme="minorEastAsia" w:hAnsiTheme="minorEastAsia" w:eastAsiaTheme="minorEastAsia"/>
          <w:color w:val="000000"/>
          <w:sz w:val="24"/>
          <w:szCs w:val="24"/>
        </w:rPr>
        <w:t>“教师教学</w:t>
      </w:r>
      <w:r>
        <w:rPr>
          <w:rFonts w:hint="eastAsia" w:asciiTheme="minorEastAsia" w:hAnsiTheme="minorEastAsia" w:eastAsiaTheme="minorEastAsia"/>
          <w:sz w:val="24"/>
          <w:szCs w:val="24"/>
        </w:rPr>
        <w:t>技能培训”学时，取得结业证书，并以此作为申报高等学校教师资格和定级的必备条件之一。</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（二）每位教师须修满任现职以来的规定学时（五年一周期不少于360学时或平均每年72学时），才能申报晋升高一级教师专业技术职务任职资格。</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（三）培训学时认定。</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集中培训与网络在线培训按培训方案认定学时。</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其它方式的学时认定：</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（1）听课：以听课方式认定的培训学时，每年不超过20学时；</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（2）公开示范课：计4学时/节，每年公开示范课学时不得超过16学时；</w:t>
      </w:r>
    </w:p>
    <w:p>
      <w:pPr>
        <w:pStyle w:val="2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（3）讲座：计8学时/次，每年讲座学时不得超过16学时。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四、经费管理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学校设立教师教学发展专项经费，由计财处统一管理，教师教学发展中心负责人对经费使用的规范性负责。设立“内江师范学院青年教师发展基金”，用于支持新入职教师在教学方面的成长。</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五、附则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本办法自发布之日起执行，由教师教学发展中心负责解释。</w:t>
      </w: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2014年5月13日</w:t>
      </w:r>
    </w:p>
    <w:p>
      <w:pPr>
        <w:spacing w:line="360" w:lineRule="auto"/>
        <w:rPr>
          <w:rFonts w:asciiTheme="minorEastAsia" w:hAnsiTheme="minorEastAsia"/>
          <w:sz w:val="24"/>
          <w:szCs w:val="24"/>
        </w:rPr>
      </w:pPr>
    </w:p>
    <w:p>
      <w:pPr>
        <w:spacing w:line="594" w:lineRule="exact"/>
        <w:rPr>
          <w:rFonts w:asciiTheme="minorEastAsia" w:hAnsiTheme="minorEastAsia"/>
          <w:sz w:val="24"/>
          <w:szCs w:val="24"/>
        </w:rPr>
      </w:pPr>
      <w:r>
        <w:rPr>
          <w:rFonts w:asciiTheme="minorEastAsia" w:hAnsiTheme="minorEastAsia"/>
          <w:sz w:val="24"/>
          <w:szCs w:val="24"/>
        </w:rPr>
        <w:br w:type="page"/>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w:t>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关于聘请退休教师担任本科生课程教学工作的暂行规定</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内师院发〔2012〕35号</w:t>
      </w:r>
    </w:p>
    <w:p>
      <w:pPr>
        <w:adjustRightInd w:val="0"/>
        <w:snapToGrid w:val="0"/>
        <w:spacing w:line="580" w:lineRule="exact"/>
        <w:ind w:firstLine="420" w:firstLineChars="200"/>
        <w:rPr>
          <w:rFonts w:ascii="方正仿宋简体" w:hAnsi="仿宋" w:eastAsia="方正仿宋简体"/>
          <w:szCs w:val="32"/>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进一步发挥退休教师献身学校建设的热情与作用，满足学校学科专业发展和教学工作的需要，各单位可根据各自的实际情况聘请我校已办理了退休手续，具有副高级及以上专业技术职务的教师，担任本科生课程的教学工作。现就有关事项规定如下：</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一、聘请条件</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1.聘请的退休教师必须具有副高级及以上专业技术职务，师德高尚、教学水平高。</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2.聘请的退休教师年龄原则上男在65周岁以下、女在60周岁以下。</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3.聘请的退休教师主要承担本科生专业课程的理论课教学工作。</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4.聘请的退休教师必须本人自愿受聘，且身体健康，能坚持正常的教育教学工作。</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5.各教学单位聘请退休教师担任本科生课程每学年原则上不超过3门课程（含3门）。</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二、聘请程序</w:t>
      </w:r>
    </w:p>
    <w:p>
      <w:pPr>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1.各教学单位根据具体情况，在开课任务书下达之前，将下学期拟聘请退休教师以及聘请担任的课程、工作目标任务等情况向教务处提出书面报告。</w:t>
      </w:r>
    </w:p>
    <w:p>
      <w:pPr>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2.各教学单位对聘请的退休教师进行初步考察，并与教务处、人事处汇同协商后,由受聘者填写《内江师范学院聘请退休教师担任本科生课程教学工作审批表》，经</w:t>
      </w:r>
      <w:r>
        <w:rPr>
          <w:rFonts w:hint="eastAsia" w:asciiTheme="minorEastAsia" w:hAnsiTheme="minorEastAsia"/>
          <w:sz w:val="24"/>
          <w:szCs w:val="24"/>
        </w:rPr>
        <w:t>聘请</w:t>
      </w:r>
      <w:r>
        <w:rPr>
          <w:rFonts w:hint="eastAsia" w:asciiTheme="minorEastAsia" w:hAnsiTheme="minorEastAsia"/>
          <w:kern w:val="0"/>
          <w:sz w:val="24"/>
          <w:szCs w:val="24"/>
        </w:rPr>
        <w:t>单位签字盖章后报送教务处。</w:t>
      </w:r>
    </w:p>
    <w:p>
      <w:pPr>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3.教务处汇总全校拟聘请的退休教师情况报学校审批通过后执行。</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三、聘请教师的相关待遇</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1.所聘请退休教师的退休身份不变，按政策享受其退休待遇和课时酬金等。</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2.课时酬金：</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（1）具有正高级专业技术职务退休教师的课时酬金为： 130元/学时；</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（2）具有副高级专业技术职务退休教师的课时酬金为： 100元/学时；</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（3）聘请退休教师担任教学工作的课时酬金由学校承担，课时酬金包含完成每门课程教学工作的各个环节。</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四、聘请期限</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聘请退休教师的聘请期限为一个</w:t>
      </w:r>
      <w:r>
        <w:rPr>
          <w:rFonts w:hint="eastAsia" w:asciiTheme="minorEastAsia" w:hAnsiTheme="minorEastAsia" w:eastAsiaTheme="minorEastAsia"/>
        </w:rPr>
        <w:t>学期</w:t>
      </w:r>
      <w:r>
        <w:rPr>
          <w:rFonts w:hint="eastAsia" w:cs="Times New Roman" w:asciiTheme="minorEastAsia" w:hAnsiTheme="minorEastAsia" w:eastAsiaTheme="minorEastAsia"/>
        </w:rPr>
        <w:t>，每学期一聘。</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五、聘请退休教师的管理</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1.各教学单位每聘请一位退休教师，必须配备一位中青年教师作为课程辅导教师，辅导教师的课时酬金由教学单位承担。</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2.指导课程辅导教师，为中青年教师的成长搭建平台。</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3.按在岗教师管理，聘请期间如不能坚持正常工作或违反有关管理制度规定的，学校有权终止聘请。</w:t>
      </w:r>
    </w:p>
    <w:p>
      <w:pPr>
        <w:pStyle w:val="10"/>
        <w:spacing w:before="0" w:beforeAutospacing="0" w:after="0" w:afterAutospacing="0" w:line="360" w:lineRule="auto"/>
        <w:ind w:firstLine="482" w:firstLineChars="200"/>
        <w:jc w:val="both"/>
        <w:rPr>
          <w:rFonts w:cs="Times New Roman" w:asciiTheme="minorEastAsia" w:hAnsiTheme="minorEastAsia" w:eastAsiaTheme="minorEastAsia"/>
          <w:b/>
        </w:rPr>
      </w:pPr>
      <w:r>
        <w:rPr>
          <w:rFonts w:hint="eastAsia" w:cs="Times New Roman" w:asciiTheme="minorEastAsia" w:hAnsiTheme="minorEastAsia" w:eastAsiaTheme="minorEastAsia"/>
          <w:b/>
        </w:rPr>
        <w:t>六、本规定自发布之日起执行，由学校教务处负责解释。 </w:t>
      </w:r>
    </w:p>
    <w:p>
      <w:pPr>
        <w:pStyle w:val="4"/>
        <w:spacing w:before="0" w:after="0" w:line="360" w:lineRule="auto"/>
        <w:ind w:firstLine="480" w:firstLineChars="200"/>
        <w:rPr>
          <w:rFonts w:asciiTheme="minorEastAsia" w:hAnsiTheme="minorEastAsia"/>
          <w:b w:val="0"/>
          <w:bCs w:val="0"/>
          <w:sz w:val="24"/>
          <w:szCs w:val="24"/>
        </w:rPr>
      </w:pPr>
    </w:p>
    <w:p>
      <w:pPr>
        <w:pStyle w:val="4"/>
        <w:spacing w:before="0" w:after="0" w:line="360" w:lineRule="auto"/>
        <w:ind w:firstLine="480" w:firstLineChars="200"/>
        <w:rPr>
          <w:rFonts w:asciiTheme="minorEastAsia" w:hAnsiTheme="minorEastAsia"/>
          <w:b w:val="0"/>
          <w:sz w:val="24"/>
          <w:szCs w:val="24"/>
        </w:rPr>
      </w:pPr>
      <w:r>
        <w:rPr>
          <w:rFonts w:hint="eastAsia" w:asciiTheme="minorEastAsia" w:hAnsiTheme="minorEastAsia"/>
          <w:b w:val="0"/>
          <w:bCs w:val="0"/>
          <w:sz w:val="24"/>
          <w:szCs w:val="24"/>
        </w:rPr>
        <w:t>附件：</w:t>
      </w:r>
      <w:r>
        <w:rPr>
          <w:rFonts w:hint="eastAsia" w:asciiTheme="minorEastAsia" w:hAnsiTheme="minorEastAsia"/>
          <w:b w:val="0"/>
          <w:sz w:val="24"/>
          <w:szCs w:val="24"/>
        </w:rPr>
        <w:t>内江师范学院聘请退休教师担任本科生课程教学工作审批表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 xml:space="preserve">                            二○一二年五月十四日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b/>
          <w:sz w:val="28"/>
          <w:szCs w:val="28"/>
        </w:rPr>
      </w:pPr>
      <w:r>
        <w:rPr>
          <w:rFonts w:hint="eastAsia" w:asciiTheme="minorEastAsia" w:hAnsiTheme="minorEastAsia"/>
          <w:b/>
          <w:sz w:val="28"/>
          <w:szCs w:val="28"/>
        </w:rPr>
        <w:t>附件</w:t>
      </w:r>
    </w:p>
    <w:p>
      <w:pPr>
        <w:spacing w:after="312" w:afterLines="100" w:line="360" w:lineRule="exact"/>
        <w:jc w:val="center"/>
        <w:rPr>
          <w:rFonts w:ascii="方正黑体简体" w:hAnsi="Times New Roman" w:eastAsia="方正黑体简体"/>
          <w:b/>
          <w:w w:val="90"/>
          <w:sz w:val="32"/>
          <w:szCs w:val="32"/>
        </w:rPr>
      </w:pPr>
      <w:r>
        <w:rPr>
          <w:rFonts w:hint="eastAsia" w:ascii="方正黑体简体" w:hAnsi="Times New Roman" w:eastAsia="方正黑体简体"/>
          <w:b/>
          <w:w w:val="90"/>
          <w:sz w:val="32"/>
          <w:szCs w:val="32"/>
        </w:rPr>
        <w:t>内江师范学院聘请退休教师</w:t>
      </w:r>
      <w:r>
        <w:rPr>
          <w:rFonts w:hint="eastAsia" w:ascii="方正黑体简体" w:hAnsi="Times New Roman" w:eastAsia="方正黑体简体" w:cs="宋体"/>
          <w:b/>
          <w:w w:val="90"/>
          <w:sz w:val="32"/>
          <w:szCs w:val="32"/>
        </w:rPr>
        <w:t>担任本科生课程教学工作</w:t>
      </w:r>
      <w:r>
        <w:rPr>
          <w:rFonts w:hint="eastAsia" w:ascii="方正黑体简体" w:hAnsi="Times New Roman" w:eastAsia="方正黑体简体"/>
          <w:b/>
          <w:w w:val="90"/>
          <w:sz w:val="32"/>
          <w:szCs w:val="32"/>
        </w:rPr>
        <w:t>审批表</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51"/>
        <w:gridCol w:w="1126"/>
        <w:gridCol w:w="376"/>
        <w:gridCol w:w="478"/>
        <w:gridCol w:w="1564"/>
        <w:gridCol w:w="1005"/>
        <w:gridCol w:w="131"/>
        <w:gridCol w:w="925"/>
        <w:gridCol w:w="7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7" w:type="dxa"/>
            <w:vAlign w:val="center"/>
          </w:tcPr>
          <w:p>
            <w:pPr>
              <w:spacing w:line="360" w:lineRule="exact"/>
              <w:jc w:val="center"/>
              <w:rPr>
                <w:rFonts w:ascii="宋体" w:hAnsi="宋体" w:eastAsia="宋体"/>
                <w:sz w:val="24"/>
                <w:szCs w:val="24"/>
              </w:rPr>
            </w:pPr>
            <w:r>
              <w:rPr>
                <w:rFonts w:hint="eastAsia" w:ascii="宋体" w:hAnsi="宋体" w:eastAsia="宋体"/>
                <w:sz w:val="24"/>
                <w:szCs w:val="24"/>
              </w:rPr>
              <w:t>姓名</w:t>
            </w:r>
          </w:p>
        </w:tc>
        <w:tc>
          <w:tcPr>
            <w:tcW w:w="851" w:type="dxa"/>
            <w:vAlign w:val="center"/>
          </w:tcPr>
          <w:p>
            <w:pPr>
              <w:spacing w:line="360" w:lineRule="exact"/>
              <w:ind w:firstLine="480" w:firstLineChars="200"/>
              <w:jc w:val="center"/>
              <w:rPr>
                <w:rFonts w:ascii="宋体" w:hAnsi="宋体" w:eastAsia="宋体"/>
                <w:sz w:val="24"/>
                <w:szCs w:val="24"/>
              </w:rPr>
            </w:pPr>
          </w:p>
        </w:tc>
        <w:tc>
          <w:tcPr>
            <w:tcW w:w="1126" w:type="dxa"/>
            <w:vAlign w:val="center"/>
          </w:tcPr>
          <w:p>
            <w:pPr>
              <w:spacing w:line="360" w:lineRule="exact"/>
              <w:jc w:val="center"/>
              <w:rPr>
                <w:rFonts w:ascii="宋体" w:hAnsi="宋体" w:eastAsia="宋体"/>
                <w:sz w:val="24"/>
                <w:szCs w:val="24"/>
              </w:rPr>
            </w:pPr>
            <w:r>
              <w:rPr>
                <w:rFonts w:hint="eastAsia" w:ascii="宋体" w:hAnsi="宋体" w:eastAsia="宋体"/>
                <w:sz w:val="24"/>
                <w:szCs w:val="24"/>
              </w:rPr>
              <w:t>职称</w:t>
            </w:r>
          </w:p>
        </w:tc>
        <w:tc>
          <w:tcPr>
            <w:tcW w:w="854" w:type="dxa"/>
            <w:gridSpan w:val="2"/>
            <w:vAlign w:val="center"/>
          </w:tcPr>
          <w:p>
            <w:pPr>
              <w:spacing w:line="360" w:lineRule="exact"/>
              <w:ind w:firstLine="480" w:firstLineChars="200"/>
              <w:jc w:val="center"/>
              <w:rPr>
                <w:rFonts w:ascii="宋体" w:hAnsi="宋体" w:eastAsia="宋体"/>
                <w:sz w:val="24"/>
                <w:szCs w:val="24"/>
              </w:rPr>
            </w:pPr>
          </w:p>
        </w:tc>
        <w:tc>
          <w:tcPr>
            <w:tcW w:w="1564" w:type="dxa"/>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退休时间</w:t>
            </w:r>
          </w:p>
        </w:tc>
        <w:tc>
          <w:tcPr>
            <w:tcW w:w="1005" w:type="dxa"/>
            <w:vAlign w:val="center"/>
          </w:tcPr>
          <w:p>
            <w:pPr>
              <w:spacing w:line="360" w:lineRule="exact"/>
              <w:ind w:firstLine="480" w:firstLineChars="200"/>
              <w:jc w:val="center"/>
              <w:rPr>
                <w:rFonts w:ascii="宋体" w:hAnsi="宋体" w:eastAsia="宋体"/>
                <w:sz w:val="24"/>
                <w:szCs w:val="24"/>
              </w:rPr>
            </w:pPr>
          </w:p>
        </w:tc>
        <w:tc>
          <w:tcPr>
            <w:tcW w:w="1056" w:type="dxa"/>
            <w:gridSpan w:val="2"/>
            <w:vAlign w:val="center"/>
          </w:tcPr>
          <w:p>
            <w:pPr>
              <w:spacing w:line="360" w:lineRule="exact"/>
              <w:jc w:val="center"/>
              <w:rPr>
                <w:rFonts w:ascii="宋体" w:hAnsi="宋体" w:eastAsia="宋体"/>
                <w:sz w:val="24"/>
                <w:szCs w:val="24"/>
              </w:rPr>
            </w:pPr>
            <w:r>
              <w:rPr>
                <w:rFonts w:hint="eastAsia" w:ascii="宋体" w:hAnsi="宋体" w:eastAsia="宋体"/>
                <w:sz w:val="24"/>
                <w:szCs w:val="24"/>
              </w:rPr>
              <w:t>年龄</w:t>
            </w:r>
          </w:p>
        </w:tc>
        <w:tc>
          <w:tcPr>
            <w:tcW w:w="1595" w:type="dxa"/>
            <w:gridSpan w:val="2"/>
            <w:vAlign w:val="center"/>
          </w:tcPr>
          <w:p>
            <w:pPr>
              <w:spacing w:line="360" w:lineRule="exact"/>
              <w:ind w:firstLine="480" w:firstLineChars="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908" w:type="dxa"/>
            <w:gridSpan w:val="2"/>
            <w:vAlign w:val="center"/>
          </w:tcPr>
          <w:p>
            <w:pPr>
              <w:spacing w:line="360" w:lineRule="exact"/>
              <w:jc w:val="center"/>
              <w:rPr>
                <w:rFonts w:ascii="宋体" w:hAnsi="宋体" w:eastAsia="宋体"/>
                <w:sz w:val="24"/>
                <w:szCs w:val="24"/>
              </w:rPr>
            </w:pPr>
            <w:r>
              <w:rPr>
                <w:rFonts w:hint="eastAsia" w:ascii="宋体" w:hAnsi="宋体" w:eastAsia="宋体"/>
                <w:sz w:val="24"/>
                <w:szCs w:val="24"/>
              </w:rPr>
              <w:t>所担任</w:t>
            </w:r>
          </w:p>
          <w:p>
            <w:pPr>
              <w:spacing w:line="360" w:lineRule="exact"/>
              <w:jc w:val="center"/>
              <w:rPr>
                <w:rFonts w:ascii="宋体" w:hAnsi="宋体" w:eastAsia="宋体"/>
                <w:sz w:val="24"/>
                <w:szCs w:val="24"/>
              </w:rPr>
            </w:pPr>
            <w:r>
              <w:rPr>
                <w:rFonts w:hint="eastAsia" w:ascii="宋体" w:hAnsi="宋体" w:eastAsia="宋体"/>
                <w:sz w:val="24"/>
                <w:szCs w:val="24"/>
              </w:rPr>
              <w:t>课程时间</w:t>
            </w:r>
          </w:p>
        </w:tc>
        <w:tc>
          <w:tcPr>
            <w:tcW w:w="7200" w:type="dxa"/>
            <w:gridSpan w:val="9"/>
            <w:vAlign w:val="center"/>
          </w:tcPr>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自     年   月   日始至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08" w:type="dxa"/>
            <w:gridSpan w:val="2"/>
            <w:vAlign w:val="center"/>
          </w:tcPr>
          <w:p>
            <w:pPr>
              <w:spacing w:line="360" w:lineRule="exact"/>
              <w:jc w:val="center"/>
              <w:rPr>
                <w:rFonts w:ascii="宋体" w:hAnsi="宋体" w:eastAsia="宋体"/>
                <w:sz w:val="24"/>
                <w:szCs w:val="24"/>
              </w:rPr>
            </w:pPr>
            <w:r>
              <w:rPr>
                <w:rFonts w:hint="eastAsia" w:ascii="宋体" w:hAnsi="宋体" w:eastAsia="宋体"/>
                <w:sz w:val="24"/>
                <w:szCs w:val="24"/>
              </w:rPr>
              <w:t>原承担课程</w:t>
            </w:r>
          </w:p>
        </w:tc>
        <w:tc>
          <w:tcPr>
            <w:tcW w:w="7200" w:type="dxa"/>
            <w:gridSpan w:val="9"/>
            <w:vAlign w:val="center"/>
          </w:tcPr>
          <w:p>
            <w:pPr>
              <w:spacing w:line="360" w:lineRule="exact"/>
              <w:ind w:firstLine="480" w:firstLineChars="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08" w:type="dxa"/>
            <w:gridSpan w:val="2"/>
            <w:vAlign w:val="center"/>
          </w:tcPr>
          <w:p>
            <w:pPr>
              <w:spacing w:line="360" w:lineRule="exact"/>
              <w:jc w:val="center"/>
              <w:rPr>
                <w:rFonts w:ascii="宋体" w:hAnsi="宋体" w:eastAsia="宋体"/>
                <w:sz w:val="24"/>
                <w:szCs w:val="24"/>
              </w:rPr>
            </w:pPr>
            <w:r>
              <w:rPr>
                <w:rFonts w:hint="eastAsia" w:ascii="宋体" w:hAnsi="宋体" w:eastAsia="宋体"/>
                <w:sz w:val="24"/>
                <w:szCs w:val="24"/>
              </w:rPr>
              <w:t>聘请理由</w:t>
            </w:r>
          </w:p>
        </w:tc>
        <w:tc>
          <w:tcPr>
            <w:tcW w:w="7200" w:type="dxa"/>
            <w:gridSpan w:val="9"/>
            <w:vAlign w:val="center"/>
          </w:tcPr>
          <w:p>
            <w:pPr>
              <w:spacing w:line="360" w:lineRule="exact"/>
              <w:ind w:firstLine="480" w:firstLineChars="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908" w:type="dxa"/>
            <w:gridSpan w:val="2"/>
            <w:vMerge w:val="restart"/>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聘期</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教学</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工作</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情况</w:t>
            </w:r>
          </w:p>
        </w:tc>
        <w:tc>
          <w:tcPr>
            <w:tcW w:w="1502" w:type="dxa"/>
            <w:gridSpan w:val="2"/>
            <w:vAlign w:val="center"/>
          </w:tcPr>
          <w:p>
            <w:pPr>
              <w:spacing w:line="360" w:lineRule="exact"/>
              <w:ind w:firstLine="240" w:firstLineChars="100"/>
              <w:jc w:val="left"/>
              <w:rPr>
                <w:rFonts w:ascii="宋体" w:hAnsi="宋体" w:eastAsia="宋体"/>
                <w:sz w:val="24"/>
                <w:szCs w:val="24"/>
              </w:rPr>
            </w:pPr>
            <w:r>
              <w:rPr>
                <w:rFonts w:hint="eastAsia" w:ascii="宋体" w:hAnsi="宋体" w:eastAsia="宋体"/>
                <w:sz w:val="24"/>
                <w:szCs w:val="24"/>
              </w:rPr>
              <w:t>授课班级</w:t>
            </w:r>
          </w:p>
        </w:tc>
        <w:tc>
          <w:tcPr>
            <w:tcW w:w="2042" w:type="dxa"/>
            <w:gridSpan w:val="2"/>
            <w:vAlign w:val="center"/>
          </w:tcPr>
          <w:p>
            <w:pPr>
              <w:spacing w:line="360" w:lineRule="exact"/>
              <w:ind w:firstLine="480" w:firstLineChars="200"/>
              <w:jc w:val="left"/>
              <w:rPr>
                <w:rFonts w:ascii="宋体" w:hAnsi="宋体" w:eastAsia="宋体"/>
                <w:sz w:val="24"/>
                <w:szCs w:val="24"/>
              </w:rPr>
            </w:pPr>
            <w:r>
              <w:rPr>
                <w:rFonts w:hint="eastAsia" w:ascii="宋体" w:hAnsi="宋体" w:eastAsia="宋体"/>
                <w:sz w:val="24"/>
                <w:szCs w:val="24"/>
              </w:rPr>
              <w:t>课程名称</w:t>
            </w:r>
          </w:p>
        </w:tc>
        <w:tc>
          <w:tcPr>
            <w:tcW w:w="1136" w:type="dxa"/>
            <w:gridSpan w:val="2"/>
            <w:vAlign w:val="center"/>
          </w:tcPr>
          <w:p>
            <w:pPr>
              <w:spacing w:line="360" w:lineRule="exact"/>
              <w:jc w:val="center"/>
              <w:rPr>
                <w:rFonts w:ascii="宋体" w:hAnsi="宋体" w:eastAsia="宋体"/>
                <w:sz w:val="24"/>
                <w:szCs w:val="24"/>
              </w:rPr>
            </w:pPr>
            <w:r>
              <w:rPr>
                <w:rFonts w:hint="eastAsia" w:ascii="宋体" w:hAnsi="宋体" w:eastAsia="宋体"/>
                <w:sz w:val="24"/>
                <w:szCs w:val="24"/>
              </w:rPr>
              <w:t>课程</w:t>
            </w:r>
          </w:p>
          <w:p>
            <w:pPr>
              <w:spacing w:line="360" w:lineRule="exact"/>
              <w:jc w:val="center"/>
              <w:rPr>
                <w:rFonts w:ascii="宋体" w:hAnsi="宋体" w:eastAsia="宋体"/>
                <w:sz w:val="24"/>
                <w:szCs w:val="24"/>
              </w:rPr>
            </w:pPr>
            <w:r>
              <w:rPr>
                <w:rFonts w:hint="eastAsia" w:ascii="宋体" w:hAnsi="宋体" w:eastAsia="宋体"/>
                <w:sz w:val="24"/>
                <w:szCs w:val="24"/>
              </w:rPr>
              <w:t>性质</w:t>
            </w:r>
          </w:p>
        </w:tc>
        <w:tc>
          <w:tcPr>
            <w:tcW w:w="998" w:type="dxa"/>
            <w:gridSpan w:val="2"/>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总课</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时数</w:t>
            </w:r>
          </w:p>
        </w:tc>
        <w:tc>
          <w:tcPr>
            <w:tcW w:w="1522" w:type="dxa"/>
            <w:vAlign w:val="center"/>
          </w:tcPr>
          <w:p>
            <w:pPr>
              <w:spacing w:line="360" w:lineRule="exact"/>
              <w:ind w:firstLine="120" w:firstLineChars="5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08" w:type="dxa"/>
            <w:gridSpan w:val="2"/>
            <w:vMerge w:val="continue"/>
            <w:vAlign w:val="center"/>
          </w:tcPr>
          <w:p>
            <w:pPr>
              <w:adjustRightInd w:val="0"/>
              <w:snapToGrid w:val="0"/>
              <w:spacing w:line="360" w:lineRule="exact"/>
              <w:ind w:firstLine="480" w:firstLineChars="200"/>
              <w:jc w:val="center"/>
              <w:rPr>
                <w:rFonts w:ascii="宋体" w:hAnsi="宋体" w:eastAsia="宋体"/>
                <w:sz w:val="24"/>
                <w:szCs w:val="24"/>
              </w:rPr>
            </w:pPr>
          </w:p>
        </w:tc>
        <w:tc>
          <w:tcPr>
            <w:tcW w:w="1502" w:type="dxa"/>
            <w:gridSpan w:val="2"/>
            <w:vAlign w:val="center"/>
          </w:tcPr>
          <w:p>
            <w:pPr>
              <w:spacing w:line="360" w:lineRule="exact"/>
              <w:ind w:firstLine="480" w:firstLineChars="200"/>
              <w:jc w:val="left"/>
              <w:rPr>
                <w:rFonts w:ascii="宋体" w:hAnsi="宋体" w:eastAsia="宋体"/>
                <w:sz w:val="24"/>
                <w:szCs w:val="24"/>
              </w:rPr>
            </w:pPr>
          </w:p>
        </w:tc>
        <w:tc>
          <w:tcPr>
            <w:tcW w:w="2042" w:type="dxa"/>
            <w:gridSpan w:val="2"/>
            <w:vAlign w:val="center"/>
          </w:tcPr>
          <w:p>
            <w:pPr>
              <w:spacing w:line="360" w:lineRule="exact"/>
              <w:ind w:firstLine="480" w:firstLineChars="200"/>
              <w:jc w:val="left"/>
              <w:rPr>
                <w:rFonts w:ascii="宋体" w:hAnsi="宋体" w:eastAsia="宋体"/>
                <w:sz w:val="24"/>
                <w:szCs w:val="24"/>
              </w:rPr>
            </w:pPr>
          </w:p>
        </w:tc>
        <w:tc>
          <w:tcPr>
            <w:tcW w:w="1136" w:type="dxa"/>
            <w:gridSpan w:val="2"/>
            <w:vAlign w:val="center"/>
          </w:tcPr>
          <w:p>
            <w:pPr>
              <w:spacing w:line="360" w:lineRule="exact"/>
              <w:ind w:firstLine="480" w:firstLineChars="200"/>
              <w:jc w:val="left"/>
              <w:rPr>
                <w:rFonts w:ascii="宋体" w:hAnsi="宋体" w:eastAsia="宋体"/>
                <w:sz w:val="24"/>
                <w:szCs w:val="24"/>
              </w:rPr>
            </w:pPr>
          </w:p>
        </w:tc>
        <w:tc>
          <w:tcPr>
            <w:tcW w:w="998" w:type="dxa"/>
            <w:gridSpan w:val="2"/>
            <w:vAlign w:val="center"/>
          </w:tcPr>
          <w:p>
            <w:pPr>
              <w:spacing w:line="360" w:lineRule="exact"/>
              <w:ind w:firstLine="480" w:firstLineChars="200"/>
              <w:jc w:val="left"/>
              <w:rPr>
                <w:rFonts w:ascii="宋体" w:hAnsi="宋体" w:eastAsia="宋体"/>
                <w:sz w:val="24"/>
                <w:szCs w:val="24"/>
              </w:rPr>
            </w:pPr>
          </w:p>
        </w:tc>
        <w:tc>
          <w:tcPr>
            <w:tcW w:w="1522" w:type="dxa"/>
            <w:vAlign w:val="center"/>
          </w:tcPr>
          <w:p>
            <w:pPr>
              <w:spacing w:line="360" w:lineRule="exact"/>
              <w:ind w:firstLine="480" w:firstLineChars="20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08" w:type="dxa"/>
            <w:gridSpan w:val="2"/>
            <w:vMerge w:val="continue"/>
            <w:vAlign w:val="center"/>
          </w:tcPr>
          <w:p>
            <w:pPr>
              <w:adjustRightInd w:val="0"/>
              <w:snapToGrid w:val="0"/>
              <w:spacing w:line="360" w:lineRule="exact"/>
              <w:ind w:firstLine="480" w:firstLineChars="200"/>
              <w:jc w:val="center"/>
              <w:rPr>
                <w:rFonts w:ascii="宋体" w:hAnsi="宋体" w:eastAsia="宋体"/>
                <w:sz w:val="24"/>
                <w:szCs w:val="24"/>
              </w:rPr>
            </w:pPr>
          </w:p>
        </w:tc>
        <w:tc>
          <w:tcPr>
            <w:tcW w:w="1502" w:type="dxa"/>
            <w:gridSpan w:val="2"/>
            <w:vAlign w:val="center"/>
          </w:tcPr>
          <w:p>
            <w:pPr>
              <w:spacing w:line="360" w:lineRule="exact"/>
              <w:ind w:firstLine="480" w:firstLineChars="200"/>
              <w:jc w:val="left"/>
              <w:rPr>
                <w:rFonts w:ascii="宋体" w:hAnsi="宋体" w:eastAsia="宋体"/>
                <w:sz w:val="24"/>
                <w:szCs w:val="24"/>
              </w:rPr>
            </w:pPr>
          </w:p>
        </w:tc>
        <w:tc>
          <w:tcPr>
            <w:tcW w:w="2042" w:type="dxa"/>
            <w:gridSpan w:val="2"/>
            <w:vAlign w:val="center"/>
          </w:tcPr>
          <w:p>
            <w:pPr>
              <w:spacing w:line="360" w:lineRule="exact"/>
              <w:ind w:firstLine="480" w:firstLineChars="200"/>
              <w:jc w:val="left"/>
              <w:rPr>
                <w:rFonts w:ascii="宋体" w:hAnsi="宋体" w:eastAsia="宋体"/>
                <w:sz w:val="24"/>
                <w:szCs w:val="24"/>
              </w:rPr>
            </w:pPr>
          </w:p>
        </w:tc>
        <w:tc>
          <w:tcPr>
            <w:tcW w:w="1136" w:type="dxa"/>
            <w:gridSpan w:val="2"/>
            <w:vAlign w:val="center"/>
          </w:tcPr>
          <w:p>
            <w:pPr>
              <w:spacing w:line="360" w:lineRule="exact"/>
              <w:ind w:firstLine="480" w:firstLineChars="200"/>
              <w:jc w:val="left"/>
              <w:rPr>
                <w:rFonts w:ascii="宋体" w:hAnsi="宋体" w:eastAsia="宋体"/>
                <w:sz w:val="24"/>
                <w:szCs w:val="24"/>
              </w:rPr>
            </w:pPr>
          </w:p>
        </w:tc>
        <w:tc>
          <w:tcPr>
            <w:tcW w:w="998" w:type="dxa"/>
            <w:gridSpan w:val="2"/>
            <w:vAlign w:val="center"/>
          </w:tcPr>
          <w:p>
            <w:pPr>
              <w:spacing w:line="360" w:lineRule="exact"/>
              <w:ind w:firstLine="480" w:firstLineChars="200"/>
              <w:jc w:val="left"/>
              <w:rPr>
                <w:rFonts w:ascii="宋体" w:hAnsi="宋体" w:eastAsia="宋体"/>
                <w:sz w:val="24"/>
                <w:szCs w:val="24"/>
              </w:rPr>
            </w:pPr>
          </w:p>
        </w:tc>
        <w:tc>
          <w:tcPr>
            <w:tcW w:w="1522" w:type="dxa"/>
            <w:vAlign w:val="center"/>
          </w:tcPr>
          <w:p>
            <w:pPr>
              <w:spacing w:line="360" w:lineRule="exact"/>
              <w:ind w:firstLine="480" w:firstLineChars="20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08" w:type="dxa"/>
            <w:gridSpan w:val="2"/>
            <w:vMerge w:val="continue"/>
            <w:vAlign w:val="center"/>
          </w:tcPr>
          <w:p>
            <w:pPr>
              <w:adjustRightInd w:val="0"/>
              <w:snapToGrid w:val="0"/>
              <w:spacing w:line="360" w:lineRule="exact"/>
              <w:ind w:firstLine="480" w:firstLineChars="200"/>
              <w:jc w:val="center"/>
              <w:rPr>
                <w:rFonts w:ascii="宋体" w:hAnsi="宋体" w:eastAsia="宋体"/>
                <w:sz w:val="24"/>
                <w:szCs w:val="24"/>
              </w:rPr>
            </w:pPr>
          </w:p>
        </w:tc>
        <w:tc>
          <w:tcPr>
            <w:tcW w:w="1502" w:type="dxa"/>
            <w:gridSpan w:val="2"/>
            <w:vAlign w:val="center"/>
          </w:tcPr>
          <w:p>
            <w:pPr>
              <w:spacing w:line="360" w:lineRule="exact"/>
              <w:ind w:firstLine="480" w:firstLineChars="200"/>
              <w:jc w:val="left"/>
              <w:rPr>
                <w:rFonts w:ascii="宋体" w:hAnsi="宋体" w:eastAsia="宋体"/>
                <w:sz w:val="24"/>
                <w:szCs w:val="24"/>
              </w:rPr>
            </w:pPr>
          </w:p>
        </w:tc>
        <w:tc>
          <w:tcPr>
            <w:tcW w:w="2042" w:type="dxa"/>
            <w:gridSpan w:val="2"/>
            <w:vAlign w:val="center"/>
          </w:tcPr>
          <w:p>
            <w:pPr>
              <w:spacing w:line="360" w:lineRule="exact"/>
              <w:ind w:firstLine="480" w:firstLineChars="200"/>
              <w:jc w:val="left"/>
              <w:rPr>
                <w:rFonts w:ascii="宋体" w:hAnsi="宋体" w:eastAsia="宋体"/>
                <w:sz w:val="24"/>
                <w:szCs w:val="24"/>
              </w:rPr>
            </w:pPr>
          </w:p>
        </w:tc>
        <w:tc>
          <w:tcPr>
            <w:tcW w:w="1136" w:type="dxa"/>
            <w:gridSpan w:val="2"/>
            <w:vAlign w:val="center"/>
          </w:tcPr>
          <w:p>
            <w:pPr>
              <w:spacing w:line="360" w:lineRule="exact"/>
              <w:ind w:firstLine="480" w:firstLineChars="200"/>
              <w:jc w:val="left"/>
              <w:rPr>
                <w:rFonts w:ascii="宋体" w:hAnsi="宋体" w:eastAsia="宋体"/>
                <w:sz w:val="24"/>
                <w:szCs w:val="24"/>
              </w:rPr>
            </w:pPr>
          </w:p>
        </w:tc>
        <w:tc>
          <w:tcPr>
            <w:tcW w:w="998" w:type="dxa"/>
            <w:gridSpan w:val="2"/>
            <w:vAlign w:val="center"/>
          </w:tcPr>
          <w:p>
            <w:pPr>
              <w:spacing w:line="360" w:lineRule="exact"/>
              <w:ind w:firstLine="480" w:firstLineChars="200"/>
              <w:jc w:val="left"/>
              <w:rPr>
                <w:rFonts w:ascii="宋体" w:hAnsi="宋体" w:eastAsia="宋体"/>
                <w:sz w:val="24"/>
                <w:szCs w:val="24"/>
              </w:rPr>
            </w:pPr>
          </w:p>
        </w:tc>
        <w:tc>
          <w:tcPr>
            <w:tcW w:w="1522" w:type="dxa"/>
            <w:vAlign w:val="center"/>
          </w:tcPr>
          <w:p>
            <w:pPr>
              <w:spacing w:line="360" w:lineRule="exact"/>
              <w:ind w:firstLine="480" w:firstLineChars="20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908" w:type="dxa"/>
            <w:gridSpan w:val="2"/>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二级</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学院</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意见</w:t>
            </w:r>
          </w:p>
        </w:tc>
        <w:tc>
          <w:tcPr>
            <w:tcW w:w="7200" w:type="dxa"/>
            <w:gridSpan w:val="9"/>
            <w:vAlign w:val="center"/>
          </w:tcPr>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负责人：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trPr>
        <w:tc>
          <w:tcPr>
            <w:tcW w:w="1908" w:type="dxa"/>
            <w:gridSpan w:val="2"/>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教务处</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意  见</w:t>
            </w:r>
          </w:p>
        </w:tc>
        <w:tc>
          <w:tcPr>
            <w:tcW w:w="7200" w:type="dxa"/>
            <w:gridSpan w:val="9"/>
            <w:vAlign w:val="center"/>
          </w:tcPr>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负责人：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trPr>
        <w:tc>
          <w:tcPr>
            <w:tcW w:w="1908" w:type="dxa"/>
            <w:gridSpan w:val="2"/>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人事处</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意  见</w:t>
            </w:r>
          </w:p>
        </w:tc>
        <w:tc>
          <w:tcPr>
            <w:tcW w:w="7200" w:type="dxa"/>
            <w:gridSpan w:val="9"/>
            <w:vAlign w:val="center"/>
          </w:tcPr>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p>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负责人：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trPr>
        <w:tc>
          <w:tcPr>
            <w:tcW w:w="1908" w:type="dxa"/>
            <w:gridSpan w:val="2"/>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学校审批</w:t>
            </w:r>
          </w:p>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意    见</w:t>
            </w:r>
          </w:p>
        </w:tc>
        <w:tc>
          <w:tcPr>
            <w:tcW w:w="7200" w:type="dxa"/>
            <w:gridSpan w:val="9"/>
            <w:vAlign w:val="center"/>
          </w:tcPr>
          <w:p>
            <w:pPr>
              <w:spacing w:line="360" w:lineRule="exact"/>
              <w:jc w:val="left"/>
              <w:rPr>
                <w:rFonts w:ascii="宋体" w:hAnsi="宋体" w:eastAsia="宋体"/>
                <w:sz w:val="24"/>
                <w:szCs w:val="24"/>
              </w:rPr>
            </w:pPr>
          </w:p>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 xml:space="preserve">                              </w:t>
            </w:r>
          </w:p>
          <w:p>
            <w:pPr>
              <w:spacing w:line="360" w:lineRule="exact"/>
              <w:ind w:firstLine="480" w:firstLineChars="200"/>
              <w:jc w:val="center"/>
              <w:rPr>
                <w:rFonts w:ascii="宋体" w:hAnsi="宋体" w:eastAsia="宋体"/>
                <w:sz w:val="24"/>
                <w:szCs w:val="24"/>
              </w:rPr>
            </w:pPr>
            <w:r>
              <w:rPr>
                <w:rFonts w:hint="eastAsia" w:ascii="宋体" w:hAnsi="宋体" w:eastAsia="宋体"/>
                <w:sz w:val="24"/>
                <w:szCs w:val="24"/>
              </w:rPr>
              <w:t xml:space="preserve">                              年   月   日</w:t>
            </w:r>
          </w:p>
        </w:tc>
      </w:tr>
    </w:tbl>
    <w:p>
      <w:pPr>
        <w:spacing w:before="156" w:beforeLines="50" w:line="440" w:lineRule="exact"/>
        <w:ind w:firstLine="480" w:firstLineChars="200"/>
        <w:jc w:val="left"/>
        <w:rPr>
          <w:rFonts w:ascii="宋体" w:hAnsi="宋体" w:eastAsia="宋体"/>
          <w:sz w:val="24"/>
          <w:szCs w:val="24"/>
        </w:rPr>
      </w:pPr>
      <w:r>
        <w:rPr>
          <w:rFonts w:hint="eastAsia" w:ascii="宋体" w:hAnsi="宋体" w:eastAsia="宋体"/>
          <w:sz w:val="24"/>
          <w:szCs w:val="24"/>
        </w:rPr>
        <w:t>说明：此表一式三份，教学单位、教务处、人事处各存一份。</w:t>
      </w:r>
    </w:p>
    <w:p>
      <w:pPr>
        <w:spacing w:line="360" w:lineRule="auto"/>
        <w:rPr>
          <w:rFonts w:asciiTheme="minorEastAsia" w:hAnsiTheme="minorEastAsia"/>
          <w:sz w:val="24"/>
          <w:szCs w:val="24"/>
        </w:rPr>
      </w:pPr>
    </w:p>
    <w:p>
      <w:pPr>
        <w:spacing w:line="594" w:lineRule="exact"/>
        <w:rPr>
          <w:rFonts w:asciiTheme="minorEastAsia" w:hAnsiTheme="minorEastAsia"/>
          <w:sz w:val="24"/>
          <w:szCs w:val="24"/>
        </w:rPr>
      </w:pPr>
    </w:p>
    <w:p>
      <w:pPr>
        <w:spacing w:line="560" w:lineRule="exact"/>
        <w:jc w:val="center"/>
        <w:rPr>
          <w:rFonts w:asciiTheme="majorEastAsia" w:hAnsiTheme="majorEastAsia" w:eastAsiaTheme="majorEastAsia"/>
          <w:b/>
          <w:color w:val="000000"/>
          <w:w w:val="100"/>
          <w:sz w:val="32"/>
          <w:szCs w:val="32"/>
        </w:rPr>
      </w:pPr>
      <w:r>
        <w:rPr>
          <w:rFonts w:hint="eastAsia" w:asciiTheme="majorEastAsia" w:hAnsiTheme="majorEastAsia" w:eastAsiaTheme="majorEastAsia"/>
          <w:b/>
          <w:color w:val="000000"/>
          <w:w w:val="100"/>
          <w:sz w:val="32"/>
          <w:szCs w:val="32"/>
        </w:rPr>
        <w:t>内江师范学院</w:t>
      </w:r>
    </w:p>
    <w:p>
      <w:pPr>
        <w:spacing w:line="560" w:lineRule="exact"/>
        <w:jc w:val="center"/>
        <w:rPr>
          <w:rFonts w:asciiTheme="majorEastAsia" w:hAnsiTheme="majorEastAsia" w:eastAsiaTheme="majorEastAsia"/>
          <w:b/>
          <w:color w:val="000000"/>
          <w:w w:val="100"/>
          <w:sz w:val="32"/>
          <w:szCs w:val="32"/>
        </w:rPr>
      </w:pPr>
      <w:r>
        <w:rPr>
          <w:rFonts w:hint="eastAsia" w:asciiTheme="majorEastAsia" w:hAnsiTheme="majorEastAsia" w:eastAsiaTheme="majorEastAsia"/>
          <w:b/>
          <w:color w:val="000000"/>
          <w:w w:val="100"/>
          <w:sz w:val="32"/>
          <w:szCs w:val="32"/>
        </w:rPr>
        <w:t>选派教师教育专业教师到中学挂职锻炼实施办法（试行）</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内师院发〔2010〕122号</w:t>
      </w:r>
    </w:p>
    <w:p>
      <w:pPr>
        <w:spacing w:line="560" w:lineRule="exact"/>
        <w:ind w:firstLine="570"/>
        <w:rPr>
          <w:rFonts w:ascii="宋体" w:hAnsi="宋体"/>
          <w:color w:val="000000"/>
          <w:sz w:val="28"/>
          <w:szCs w:val="28"/>
        </w:rPr>
      </w:pP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w:t>
      </w:r>
      <w:r>
        <w:rPr>
          <w:rFonts w:asciiTheme="minorEastAsia" w:hAnsiTheme="minorEastAsia"/>
          <w:color w:val="000000"/>
          <w:sz w:val="24"/>
          <w:szCs w:val="24"/>
        </w:rPr>
        <w:t>加强</w:t>
      </w:r>
      <w:r>
        <w:rPr>
          <w:rFonts w:hint="eastAsia" w:asciiTheme="minorEastAsia" w:hAnsiTheme="minorEastAsia"/>
          <w:color w:val="000000"/>
          <w:sz w:val="24"/>
          <w:szCs w:val="24"/>
        </w:rPr>
        <w:t>我校与基础教育、基层教育的深入合作，更好地为基础教育提供智力支持，服务我省的基础教育改革，学校决定自2010年秋起每年选派教师教育专业教师到中学挂职锻炼。</w:t>
      </w:r>
    </w:p>
    <w:p>
      <w:pPr>
        <w:spacing w:line="520" w:lineRule="exact"/>
        <w:rPr>
          <w:rFonts w:asciiTheme="minorEastAsia" w:hAnsiTheme="minorEastAsia"/>
          <w:b/>
          <w:color w:val="000000"/>
          <w:sz w:val="24"/>
          <w:szCs w:val="24"/>
        </w:rPr>
      </w:pPr>
      <w:r>
        <w:rPr>
          <w:rFonts w:asciiTheme="minorEastAsia" w:hAnsiTheme="minorEastAsia"/>
          <w:color w:val="000000"/>
          <w:sz w:val="24"/>
          <w:szCs w:val="24"/>
        </w:rPr>
        <w:t xml:space="preserve">  </w:t>
      </w:r>
      <w:r>
        <w:rPr>
          <w:rFonts w:asciiTheme="minorEastAsia" w:hAnsiTheme="minorEastAsia"/>
          <w:b/>
          <w:color w:val="000000"/>
          <w:sz w:val="24"/>
          <w:szCs w:val="24"/>
        </w:rPr>
        <w:t xml:space="preserve">  一、目的与意义</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1.</w:t>
      </w:r>
      <w:r>
        <w:rPr>
          <w:rFonts w:asciiTheme="minorEastAsia" w:hAnsiTheme="minorEastAsia"/>
          <w:color w:val="000000"/>
          <w:sz w:val="24"/>
          <w:szCs w:val="24"/>
        </w:rPr>
        <w:t>选派</w:t>
      </w:r>
      <w:r>
        <w:rPr>
          <w:rFonts w:hint="eastAsia" w:asciiTheme="minorEastAsia" w:hAnsiTheme="minorEastAsia"/>
          <w:color w:val="000000"/>
          <w:sz w:val="24"/>
          <w:szCs w:val="24"/>
        </w:rPr>
        <w:t>教师教育专业</w:t>
      </w:r>
      <w:r>
        <w:rPr>
          <w:rFonts w:asciiTheme="minorEastAsia" w:hAnsiTheme="minorEastAsia"/>
          <w:color w:val="000000"/>
          <w:sz w:val="24"/>
          <w:szCs w:val="24"/>
        </w:rPr>
        <w:t>教师到中学挂职锻炼，是</w:t>
      </w:r>
      <w:r>
        <w:rPr>
          <w:rFonts w:hint="eastAsia" w:asciiTheme="minorEastAsia" w:hAnsiTheme="minorEastAsia"/>
          <w:color w:val="000000"/>
          <w:sz w:val="24"/>
          <w:szCs w:val="24"/>
        </w:rPr>
        <w:t>使我校</w:t>
      </w:r>
      <w:r>
        <w:rPr>
          <w:rFonts w:asciiTheme="minorEastAsia" w:hAnsiTheme="minorEastAsia"/>
          <w:color w:val="000000"/>
          <w:sz w:val="24"/>
          <w:szCs w:val="24"/>
        </w:rPr>
        <w:t>教师</w:t>
      </w:r>
      <w:r>
        <w:rPr>
          <w:rFonts w:hint="eastAsia" w:asciiTheme="minorEastAsia" w:hAnsiTheme="minorEastAsia"/>
          <w:color w:val="000000"/>
          <w:sz w:val="24"/>
          <w:szCs w:val="24"/>
        </w:rPr>
        <w:t>快速</w:t>
      </w:r>
      <w:r>
        <w:rPr>
          <w:rFonts w:asciiTheme="minorEastAsia" w:hAnsiTheme="minorEastAsia"/>
          <w:color w:val="000000"/>
          <w:sz w:val="24"/>
          <w:szCs w:val="24"/>
        </w:rPr>
        <w:t>熟悉和适应高中课程改革的重要途径。</w:t>
      </w:r>
      <w:r>
        <w:rPr>
          <w:rFonts w:hint="eastAsia" w:asciiTheme="minorEastAsia" w:hAnsiTheme="minorEastAsia"/>
          <w:color w:val="000000"/>
          <w:sz w:val="24"/>
          <w:szCs w:val="24"/>
        </w:rPr>
        <w:t>从总体上看，</w:t>
      </w:r>
      <w:r>
        <w:rPr>
          <w:rFonts w:asciiTheme="minorEastAsia" w:hAnsiTheme="minorEastAsia"/>
          <w:color w:val="000000"/>
          <w:sz w:val="24"/>
          <w:szCs w:val="24"/>
        </w:rPr>
        <w:t>我校</w:t>
      </w:r>
      <w:r>
        <w:rPr>
          <w:rFonts w:hint="eastAsia" w:asciiTheme="minorEastAsia" w:hAnsiTheme="minorEastAsia"/>
          <w:color w:val="000000"/>
          <w:sz w:val="24"/>
          <w:szCs w:val="24"/>
        </w:rPr>
        <w:t>教师在教师教育方面拥有丰富的理论知识，但部分教师对中学教学，特别是新课程的理念，对教师的从业技能、教育素养塑造，对基础教育和基层教育缺乏深入的了解。我国义务教育阶段课程改革于</w:t>
      </w:r>
      <w:r>
        <w:rPr>
          <w:rFonts w:asciiTheme="minorEastAsia" w:hAnsiTheme="minorEastAsia"/>
          <w:color w:val="000000"/>
          <w:sz w:val="24"/>
          <w:szCs w:val="24"/>
        </w:rPr>
        <w:t>2005年在全国范围</w:t>
      </w:r>
      <w:r>
        <w:rPr>
          <w:rFonts w:hint="eastAsia" w:asciiTheme="minorEastAsia" w:hAnsiTheme="minorEastAsia"/>
          <w:color w:val="000000"/>
          <w:sz w:val="24"/>
          <w:szCs w:val="24"/>
        </w:rPr>
        <w:t>推广，在2010年秋季学期，我省普通高中新课改在试点之后即将全面推行，基础教育正在发生一系列深刻变化。在新课程的实践过程中，很多中学创造性地建立了以校为本的教学研究制度，为教师在实践中发现问题、研究问题、解决问题提供了学习和工作的平台。目前，各中学校本研修已经形成制度和风气，专业化成长已经成为教师发展的压力和动力。我校教师教育专业教师通过到中学挂职锻炼，融入这样一个调研和自我发展的环境，了解基础教育，潜心研究中学教材、教法，熟悉中学的教学、管理，熟悉新课程改革，将为今后提高教学的针对性、实效性，为自己的专业化发展打下坚实的基础。</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2.</w:t>
      </w:r>
      <w:r>
        <w:rPr>
          <w:rFonts w:asciiTheme="minorEastAsia" w:hAnsiTheme="minorEastAsia"/>
          <w:color w:val="000000"/>
          <w:sz w:val="24"/>
          <w:szCs w:val="24"/>
        </w:rPr>
        <w:t>依托中学，将中学作为我校</w:t>
      </w:r>
      <w:r>
        <w:rPr>
          <w:rFonts w:hint="eastAsia" w:asciiTheme="minorEastAsia" w:hAnsiTheme="minorEastAsia"/>
          <w:color w:val="000000"/>
          <w:sz w:val="24"/>
          <w:szCs w:val="24"/>
        </w:rPr>
        <w:t>教师教育专业</w:t>
      </w:r>
      <w:r>
        <w:rPr>
          <w:rFonts w:asciiTheme="minorEastAsia" w:hAnsiTheme="minorEastAsia"/>
          <w:color w:val="000000"/>
          <w:sz w:val="24"/>
          <w:szCs w:val="24"/>
        </w:rPr>
        <w:t>教师的“培训中心”，有助于完善我校的课程设置、课程教学</w:t>
      </w:r>
      <w:r>
        <w:rPr>
          <w:rFonts w:hint="eastAsia" w:asciiTheme="minorEastAsia" w:hAnsiTheme="minorEastAsia"/>
          <w:color w:val="000000"/>
          <w:sz w:val="24"/>
          <w:szCs w:val="24"/>
        </w:rPr>
        <w:t>，提高中学师资的培养质量。我校教师以中学教师的身份进入中学教育现场，熟悉了解中学课堂教学，发现中学教育教学存在的问题，以及教师成长过程中的问题，开展课例研究与分析，参与学校的教育活动、调查研究、实证研究等。教师教育专业教师通过挂职期间的锻炼，在教学管理实践中了解中学，了解中学生，回到大学后，他们对师范专业学生的指导更有效，课程讲解更有针对性，对课改新理念的渗透更充分，将会直接促进我校师范专业人才培养质量的提升。</w:t>
      </w:r>
    </w:p>
    <w:p>
      <w:pPr>
        <w:spacing w:line="520" w:lineRule="exact"/>
        <w:rPr>
          <w:rFonts w:asciiTheme="minorEastAsia" w:hAnsiTheme="minorEastAsia"/>
          <w:b/>
          <w:color w:val="000000"/>
          <w:sz w:val="24"/>
          <w:szCs w:val="24"/>
        </w:rPr>
      </w:pPr>
      <w:r>
        <w:rPr>
          <w:rFonts w:asciiTheme="minorEastAsia" w:hAnsiTheme="minorEastAsia"/>
          <w:color w:val="000000"/>
          <w:sz w:val="24"/>
          <w:szCs w:val="24"/>
        </w:rPr>
        <w:t xml:space="preserve">    </w:t>
      </w:r>
      <w:r>
        <w:rPr>
          <w:rFonts w:asciiTheme="minorEastAsia" w:hAnsiTheme="minorEastAsia"/>
          <w:b/>
          <w:color w:val="000000"/>
          <w:sz w:val="24"/>
          <w:szCs w:val="24"/>
        </w:rPr>
        <w:t>二、选派原则与条件</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按照“基于青年、立足课改、面向基层、专业发展”的原则，各</w:t>
      </w:r>
      <w:r>
        <w:rPr>
          <w:rFonts w:hint="eastAsia" w:asciiTheme="minorEastAsia" w:hAnsiTheme="minorEastAsia"/>
          <w:color w:val="000000"/>
          <w:sz w:val="24"/>
          <w:szCs w:val="24"/>
        </w:rPr>
        <w:t>师范教育</w:t>
      </w:r>
      <w:r>
        <w:rPr>
          <w:rFonts w:asciiTheme="minorEastAsia" w:hAnsiTheme="minorEastAsia"/>
          <w:color w:val="000000"/>
          <w:sz w:val="24"/>
          <w:szCs w:val="24"/>
        </w:rPr>
        <w:t>教学单位每年选派l—</w:t>
      </w:r>
      <w:r>
        <w:rPr>
          <w:rFonts w:hint="eastAsia" w:asciiTheme="minorEastAsia" w:hAnsiTheme="minorEastAsia"/>
          <w:color w:val="000000"/>
          <w:sz w:val="24"/>
          <w:szCs w:val="24"/>
        </w:rPr>
        <w:t>2</w:t>
      </w:r>
      <w:r>
        <w:rPr>
          <w:rFonts w:asciiTheme="minorEastAsia" w:hAnsiTheme="minorEastAsia"/>
          <w:color w:val="000000"/>
          <w:sz w:val="24"/>
          <w:szCs w:val="24"/>
        </w:rPr>
        <w:t>名教师到</w:t>
      </w:r>
      <w:r>
        <w:rPr>
          <w:rFonts w:hint="eastAsia" w:asciiTheme="minorEastAsia" w:hAnsiTheme="minorEastAsia"/>
          <w:color w:val="000000"/>
          <w:sz w:val="24"/>
          <w:szCs w:val="24"/>
        </w:rPr>
        <w:t>中学挂职锻炼。全校教师教育专业教师原则上都要轮流参加。各单位根据工作实际，对参加挂职锻炼的教师分期分批安排。具体选派条件为：</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1.</w:t>
      </w:r>
      <w:r>
        <w:rPr>
          <w:rFonts w:asciiTheme="minorEastAsia" w:hAnsiTheme="minorEastAsia"/>
          <w:color w:val="000000"/>
          <w:sz w:val="24"/>
          <w:szCs w:val="24"/>
        </w:rPr>
        <w:t>思想政治素质好，业务能力强、专业技术水平突出，具有强烈的事业心和责任感，有较强的组织、</w:t>
      </w:r>
      <w:r>
        <w:rPr>
          <w:rFonts w:hint="eastAsia" w:asciiTheme="minorEastAsia" w:hAnsiTheme="minorEastAsia"/>
          <w:color w:val="000000"/>
          <w:sz w:val="24"/>
          <w:szCs w:val="24"/>
        </w:rPr>
        <w:t>协调和沟通能力，能独立承担学科教学科研工作的教师教育专业教师。</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2.</w:t>
      </w:r>
      <w:r>
        <w:rPr>
          <w:rFonts w:asciiTheme="minorEastAsia" w:hAnsiTheme="minorEastAsia"/>
          <w:color w:val="000000"/>
          <w:sz w:val="24"/>
          <w:szCs w:val="24"/>
        </w:rPr>
        <w:t>担任学科教学论教学的教师，原则上每</w:t>
      </w:r>
      <w:r>
        <w:rPr>
          <w:rFonts w:hint="eastAsia" w:asciiTheme="minorEastAsia" w:hAnsiTheme="minorEastAsia"/>
          <w:color w:val="000000"/>
          <w:sz w:val="24"/>
          <w:szCs w:val="24"/>
        </w:rPr>
        <w:t>隔2-3</w:t>
      </w:r>
      <w:r>
        <w:rPr>
          <w:rFonts w:asciiTheme="minorEastAsia" w:hAnsiTheme="minorEastAsia"/>
          <w:color w:val="000000"/>
          <w:sz w:val="24"/>
          <w:szCs w:val="24"/>
        </w:rPr>
        <w:t>年都要到挂职学校独立承担一学</w:t>
      </w:r>
      <w:r>
        <w:rPr>
          <w:rFonts w:hint="eastAsia" w:asciiTheme="minorEastAsia" w:hAnsiTheme="minorEastAsia"/>
          <w:color w:val="000000"/>
          <w:sz w:val="24"/>
          <w:szCs w:val="24"/>
        </w:rPr>
        <w:t>年</w:t>
      </w:r>
      <w:r>
        <w:rPr>
          <w:rFonts w:asciiTheme="minorEastAsia" w:hAnsiTheme="minorEastAsia"/>
          <w:color w:val="000000"/>
          <w:sz w:val="24"/>
          <w:szCs w:val="24"/>
        </w:rPr>
        <w:t>的教学、教研和管理</w:t>
      </w:r>
      <w:r>
        <w:rPr>
          <w:rFonts w:hint="eastAsia" w:asciiTheme="minorEastAsia" w:hAnsiTheme="minorEastAsia"/>
          <w:color w:val="000000"/>
          <w:sz w:val="24"/>
          <w:szCs w:val="24"/>
        </w:rPr>
        <w:t>工作。</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3.</w:t>
      </w:r>
      <w:r>
        <w:rPr>
          <w:rFonts w:asciiTheme="minorEastAsia" w:hAnsiTheme="minorEastAsia"/>
          <w:color w:val="000000"/>
          <w:sz w:val="24"/>
          <w:szCs w:val="24"/>
        </w:rPr>
        <w:t>身体健康，精力充沛</w:t>
      </w:r>
      <w:r>
        <w:rPr>
          <w:rFonts w:hint="eastAsia" w:asciiTheme="minorEastAsia" w:hAnsiTheme="minorEastAsia"/>
          <w:color w:val="000000"/>
          <w:sz w:val="24"/>
          <w:szCs w:val="24"/>
        </w:rPr>
        <w:t>的教师教育专业青年教师，原则上应优先派遣</w:t>
      </w:r>
      <w:r>
        <w:rPr>
          <w:rFonts w:asciiTheme="minorEastAsia" w:hAnsiTheme="minorEastAsia"/>
          <w:color w:val="000000"/>
          <w:sz w:val="24"/>
          <w:szCs w:val="24"/>
        </w:rPr>
        <w:t>。</w:t>
      </w:r>
    </w:p>
    <w:p>
      <w:pPr>
        <w:spacing w:line="520" w:lineRule="exact"/>
        <w:rPr>
          <w:rFonts w:asciiTheme="minorEastAsia" w:hAnsiTheme="minorEastAsia"/>
          <w:b/>
          <w:color w:val="000000"/>
          <w:sz w:val="24"/>
          <w:szCs w:val="24"/>
        </w:rPr>
      </w:pPr>
      <w:r>
        <w:rPr>
          <w:rFonts w:asciiTheme="minorEastAsia" w:hAnsiTheme="minorEastAsia"/>
          <w:color w:val="000000"/>
          <w:sz w:val="24"/>
          <w:szCs w:val="24"/>
        </w:rPr>
        <w:t xml:space="preserve">   </w:t>
      </w:r>
      <w:r>
        <w:rPr>
          <w:rFonts w:asciiTheme="minorEastAsia" w:hAnsiTheme="minorEastAsia"/>
          <w:b/>
          <w:color w:val="000000"/>
          <w:sz w:val="24"/>
          <w:szCs w:val="24"/>
        </w:rPr>
        <w:t xml:space="preserve"> 三、挂职锻炼的时间、地点</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挂职锻炼时间一般为一学</w:t>
      </w:r>
      <w:r>
        <w:rPr>
          <w:rFonts w:hint="eastAsia" w:asciiTheme="minorEastAsia" w:hAnsiTheme="minorEastAsia"/>
          <w:color w:val="000000"/>
          <w:sz w:val="24"/>
          <w:szCs w:val="24"/>
        </w:rPr>
        <w:t>年</w:t>
      </w:r>
      <w:r>
        <w:rPr>
          <w:rFonts w:asciiTheme="minorEastAsia" w:hAnsiTheme="minorEastAsia"/>
          <w:color w:val="000000"/>
          <w:sz w:val="24"/>
          <w:szCs w:val="24"/>
        </w:rPr>
        <w:t>。挂职单位由教务处在全省范围内联系省级</w:t>
      </w:r>
      <w:r>
        <w:rPr>
          <w:rFonts w:hint="eastAsia" w:asciiTheme="minorEastAsia" w:hAnsiTheme="minorEastAsia"/>
          <w:color w:val="000000"/>
          <w:sz w:val="24"/>
          <w:szCs w:val="24"/>
        </w:rPr>
        <w:t>高中课改样板学校，主要安排在内江市直中学。</w:t>
      </w:r>
    </w:p>
    <w:p>
      <w:pPr>
        <w:spacing w:line="520" w:lineRule="exact"/>
        <w:rPr>
          <w:rFonts w:asciiTheme="minorEastAsia" w:hAnsiTheme="minorEastAsia"/>
          <w:b/>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w:t>
      </w:r>
      <w:r>
        <w:rPr>
          <w:rFonts w:asciiTheme="minorEastAsia" w:hAnsiTheme="minorEastAsia"/>
          <w:b/>
          <w:color w:val="000000"/>
          <w:sz w:val="24"/>
          <w:szCs w:val="24"/>
        </w:rPr>
        <w:t>四、</w:t>
      </w:r>
      <w:r>
        <w:rPr>
          <w:rFonts w:hint="eastAsia" w:asciiTheme="minorEastAsia" w:hAnsiTheme="minorEastAsia"/>
          <w:b/>
          <w:color w:val="000000"/>
          <w:sz w:val="24"/>
          <w:szCs w:val="24"/>
        </w:rPr>
        <w:t>挂职</w:t>
      </w:r>
      <w:r>
        <w:rPr>
          <w:rFonts w:asciiTheme="minorEastAsia" w:hAnsiTheme="minorEastAsia"/>
          <w:b/>
          <w:color w:val="000000"/>
          <w:sz w:val="24"/>
          <w:szCs w:val="24"/>
        </w:rPr>
        <w:t>工作</w:t>
      </w:r>
      <w:r>
        <w:rPr>
          <w:rFonts w:hint="eastAsia" w:asciiTheme="minorEastAsia" w:hAnsiTheme="minorEastAsia"/>
          <w:b/>
          <w:color w:val="000000"/>
          <w:sz w:val="24"/>
          <w:szCs w:val="24"/>
        </w:rPr>
        <w:t>任务与要求</w:t>
      </w:r>
    </w:p>
    <w:p>
      <w:pPr>
        <w:spacing w:line="520" w:lineRule="exact"/>
        <w:ind w:firstLine="570"/>
        <w:rPr>
          <w:rFonts w:asciiTheme="minorEastAsia" w:hAnsiTheme="minorEastAsia"/>
          <w:color w:val="000000"/>
          <w:sz w:val="24"/>
          <w:szCs w:val="24"/>
        </w:rPr>
      </w:pPr>
      <w:r>
        <w:rPr>
          <w:rFonts w:asciiTheme="minorEastAsia" w:hAnsiTheme="minorEastAsia"/>
          <w:color w:val="000000"/>
          <w:sz w:val="24"/>
          <w:szCs w:val="24"/>
        </w:rPr>
        <w:t>在挂职锻炼期间，教师应坚持工作在挂职单位，按照课程标准，结合挂职学校的实际开展教育教学</w:t>
      </w:r>
      <w:r>
        <w:rPr>
          <w:rFonts w:hint="eastAsia" w:asciiTheme="minorEastAsia" w:hAnsiTheme="minorEastAsia"/>
          <w:color w:val="000000"/>
          <w:sz w:val="24"/>
          <w:szCs w:val="24"/>
        </w:rPr>
        <w:t>活动，努力提高教学质量。挂职职工作的基本要求是:</w:t>
      </w:r>
      <w:r>
        <w:rPr>
          <w:rFonts w:asciiTheme="minorEastAsia" w:hAnsiTheme="minorEastAsia"/>
          <w:color w:val="000000"/>
          <w:sz w:val="24"/>
          <w:szCs w:val="24"/>
        </w:rPr>
        <w:t xml:space="preserve"> </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担任对应中学相关科目的任课教师</w:t>
      </w:r>
      <w:r>
        <w:rPr>
          <w:rFonts w:hint="eastAsia" w:asciiTheme="minorEastAsia" w:hAnsiTheme="minorEastAsia"/>
          <w:color w:val="000000"/>
          <w:sz w:val="24"/>
          <w:szCs w:val="24"/>
        </w:rPr>
        <w:t>。</w:t>
      </w:r>
      <w:r>
        <w:rPr>
          <w:rFonts w:asciiTheme="minorEastAsia" w:hAnsiTheme="minorEastAsia"/>
          <w:color w:val="000000"/>
          <w:sz w:val="24"/>
          <w:szCs w:val="24"/>
        </w:rPr>
        <w:t>按每周6学时左右独立承担相应教学任务，在挂职单位</w:t>
      </w:r>
      <w:r>
        <w:rPr>
          <w:rFonts w:hint="eastAsia" w:asciiTheme="minorEastAsia" w:hAnsiTheme="minorEastAsia"/>
          <w:color w:val="000000"/>
          <w:sz w:val="24"/>
          <w:szCs w:val="24"/>
        </w:rPr>
        <w:t>教师的指导下独立完成至少一个班级的课堂教学、班主任管理等工作。掌握中学教育教学真实状况和动态，并及时反馈到学校学科专业课程的教育教学之中。</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参加挂职单位的科研、教研工作</w:t>
      </w:r>
      <w:r>
        <w:rPr>
          <w:rFonts w:hint="eastAsia" w:asciiTheme="minorEastAsia" w:hAnsiTheme="minorEastAsia"/>
          <w:color w:val="000000"/>
          <w:sz w:val="24"/>
          <w:szCs w:val="24"/>
        </w:rPr>
        <w:t>。</w:t>
      </w:r>
      <w:r>
        <w:rPr>
          <w:rFonts w:asciiTheme="minorEastAsia" w:hAnsiTheme="minorEastAsia"/>
          <w:color w:val="000000"/>
          <w:sz w:val="24"/>
          <w:szCs w:val="24"/>
        </w:rPr>
        <w:t>参加挂职单位的示范课、公开课、教研活动、专题讲座等活动，学</w:t>
      </w:r>
      <w:r>
        <w:rPr>
          <w:rFonts w:hint="eastAsia" w:asciiTheme="minorEastAsia" w:hAnsiTheme="minorEastAsia"/>
          <w:color w:val="000000"/>
          <w:sz w:val="24"/>
          <w:szCs w:val="24"/>
        </w:rPr>
        <w:t>习挂职单位先进的教育教学理念，积极参加校本研究、学科课题研究，促进专业化发展。通过</w:t>
      </w:r>
      <w:r>
        <w:rPr>
          <w:rFonts w:asciiTheme="minorEastAsia" w:hAnsiTheme="minorEastAsia"/>
          <w:color w:val="000000"/>
          <w:sz w:val="24"/>
          <w:szCs w:val="24"/>
        </w:rPr>
        <w:t>了解中学教育教学管理，参与挂职单位教育教学、教研和管理工作，</w:t>
      </w:r>
      <w:r>
        <w:rPr>
          <w:rFonts w:hint="eastAsia" w:asciiTheme="minorEastAsia" w:hAnsiTheme="minorEastAsia"/>
          <w:color w:val="000000"/>
          <w:sz w:val="24"/>
          <w:szCs w:val="24"/>
        </w:rPr>
        <w:t>促进自身教育教学素养的提高。</w:t>
      </w:r>
    </w:p>
    <w:p>
      <w:pPr>
        <w:spacing w:line="520" w:lineRule="exact"/>
        <w:rPr>
          <w:rFonts w:asciiTheme="minorEastAsia" w:hAnsiTheme="minorEastAsia"/>
          <w:b/>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  </w:t>
      </w:r>
      <w:r>
        <w:rPr>
          <w:rFonts w:asciiTheme="minorEastAsia" w:hAnsiTheme="minorEastAsia"/>
          <w:b/>
          <w:color w:val="000000"/>
          <w:sz w:val="24"/>
          <w:szCs w:val="24"/>
        </w:rPr>
        <w:t>五、有关待遇</w:t>
      </w:r>
    </w:p>
    <w:p>
      <w:pPr>
        <w:spacing w:line="520" w:lineRule="exact"/>
        <w:rPr>
          <w:rFonts w:asciiTheme="minorEastAsia" w:hAnsiTheme="minorEastAsia"/>
          <w:color w:val="000000"/>
          <w:sz w:val="24"/>
          <w:szCs w:val="24"/>
        </w:rPr>
      </w:pP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w:t>
      </w:r>
      <w:r>
        <w:rPr>
          <w:rFonts w:hint="eastAsia" w:asciiTheme="minorEastAsia" w:hAnsiTheme="minorEastAsia"/>
          <w:color w:val="000000"/>
          <w:sz w:val="24"/>
          <w:szCs w:val="24"/>
        </w:rPr>
        <w:t>1.</w:t>
      </w:r>
      <w:r>
        <w:rPr>
          <w:rFonts w:asciiTheme="minorEastAsia" w:hAnsiTheme="minorEastAsia"/>
          <w:color w:val="000000"/>
          <w:sz w:val="24"/>
          <w:szCs w:val="24"/>
        </w:rPr>
        <w:t>挂职教师在挂职期间，工资、校内津贴、福利、评优评奖、职称评定等与校内其他教师享有同等待</w:t>
      </w:r>
      <w:r>
        <w:rPr>
          <w:rFonts w:hint="eastAsia" w:asciiTheme="minorEastAsia" w:hAnsiTheme="minorEastAsia"/>
          <w:color w:val="000000"/>
          <w:sz w:val="24"/>
          <w:szCs w:val="24"/>
        </w:rPr>
        <w:t>遇。</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挂职教师</w:t>
      </w:r>
      <w:r>
        <w:rPr>
          <w:rFonts w:hint="eastAsia" w:asciiTheme="minorEastAsia" w:hAnsiTheme="minorEastAsia"/>
          <w:color w:val="000000"/>
          <w:sz w:val="24"/>
          <w:szCs w:val="24"/>
        </w:rPr>
        <w:t>完成规定的挂职工作任务，</w:t>
      </w:r>
      <w:r>
        <w:rPr>
          <w:rFonts w:asciiTheme="minorEastAsia" w:hAnsiTheme="minorEastAsia"/>
          <w:color w:val="000000"/>
          <w:sz w:val="24"/>
          <w:szCs w:val="24"/>
        </w:rPr>
        <w:t>挂职单位</w:t>
      </w:r>
      <w:r>
        <w:rPr>
          <w:rFonts w:hint="eastAsia" w:asciiTheme="minorEastAsia" w:hAnsiTheme="minorEastAsia"/>
          <w:color w:val="000000"/>
          <w:sz w:val="24"/>
          <w:szCs w:val="24"/>
        </w:rPr>
        <w:t>及学校考核</w:t>
      </w:r>
      <w:r>
        <w:rPr>
          <w:rFonts w:asciiTheme="minorEastAsia" w:hAnsiTheme="minorEastAsia"/>
          <w:color w:val="000000"/>
          <w:sz w:val="24"/>
          <w:szCs w:val="24"/>
        </w:rPr>
        <w:t>合格，</w:t>
      </w:r>
      <w:r>
        <w:rPr>
          <w:rFonts w:hint="eastAsia" w:asciiTheme="minorEastAsia" w:hAnsiTheme="minorEastAsia"/>
          <w:color w:val="000000"/>
          <w:sz w:val="24"/>
          <w:szCs w:val="24"/>
        </w:rPr>
        <w:t>由二级学院发放岗位绩效工资，学校按该教师校内岗位绩效工资标准补贴到二级学院。</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3.</w:t>
      </w:r>
      <w:r>
        <w:rPr>
          <w:rFonts w:asciiTheme="minorEastAsia" w:hAnsiTheme="minorEastAsia"/>
          <w:color w:val="000000"/>
          <w:sz w:val="24"/>
          <w:szCs w:val="24"/>
        </w:rPr>
        <w:t>往返挂职学校的</w:t>
      </w:r>
      <w:r>
        <w:rPr>
          <w:rFonts w:hint="eastAsia" w:asciiTheme="minorEastAsia" w:hAnsiTheme="minorEastAsia"/>
          <w:color w:val="000000"/>
          <w:sz w:val="24"/>
          <w:szCs w:val="24"/>
        </w:rPr>
        <w:t>交通</w:t>
      </w:r>
      <w:r>
        <w:rPr>
          <w:rFonts w:asciiTheme="minorEastAsia" w:hAnsiTheme="minorEastAsia"/>
          <w:color w:val="000000"/>
          <w:sz w:val="24"/>
          <w:szCs w:val="24"/>
        </w:rPr>
        <w:t>费</w:t>
      </w:r>
      <w:r>
        <w:rPr>
          <w:rFonts w:hint="eastAsia" w:asciiTheme="minorEastAsia" w:hAnsiTheme="minorEastAsia"/>
          <w:color w:val="000000"/>
          <w:sz w:val="24"/>
          <w:szCs w:val="24"/>
        </w:rPr>
        <w:t>每月</w:t>
      </w:r>
      <w:r>
        <w:rPr>
          <w:rFonts w:asciiTheme="minorEastAsia" w:hAnsiTheme="minorEastAsia"/>
          <w:color w:val="000000"/>
          <w:sz w:val="24"/>
          <w:szCs w:val="24"/>
        </w:rPr>
        <w:t>报销</w:t>
      </w:r>
      <w:r>
        <w:rPr>
          <w:rFonts w:hint="eastAsia" w:asciiTheme="minorEastAsia" w:hAnsiTheme="minorEastAsia"/>
          <w:color w:val="000000"/>
          <w:sz w:val="24"/>
          <w:szCs w:val="24"/>
        </w:rPr>
        <w:t>一</w:t>
      </w:r>
      <w:r>
        <w:rPr>
          <w:rFonts w:asciiTheme="minorEastAsia" w:hAnsiTheme="minorEastAsia"/>
          <w:color w:val="000000"/>
          <w:sz w:val="24"/>
          <w:szCs w:val="24"/>
        </w:rPr>
        <w:t>次</w:t>
      </w:r>
      <w:r>
        <w:rPr>
          <w:rFonts w:hint="eastAsia" w:asciiTheme="minorEastAsia" w:hAnsiTheme="minorEastAsia"/>
          <w:color w:val="000000"/>
          <w:sz w:val="24"/>
          <w:szCs w:val="24"/>
        </w:rPr>
        <w:t>，共10次。如挂职学校未提供住宿，教师可在挂职学校周边租房住宿，学校按每月300—600元给予补贴。</w:t>
      </w:r>
      <w:r>
        <w:rPr>
          <w:rFonts w:asciiTheme="minorEastAsia" w:hAnsiTheme="minorEastAsia"/>
          <w:color w:val="000000"/>
          <w:sz w:val="24"/>
          <w:szCs w:val="24"/>
        </w:rPr>
        <w:t>挂职期间产生的</w:t>
      </w:r>
      <w:r>
        <w:rPr>
          <w:rFonts w:hint="eastAsia" w:asciiTheme="minorEastAsia" w:hAnsiTheme="minorEastAsia"/>
          <w:color w:val="000000"/>
          <w:sz w:val="24"/>
          <w:szCs w:val="24"/>
        </w:rPr>
        <w:t>医疗费用按学校有关规定执行。</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4.</w:t>
      </w:r>
      <w:r>
        <w:rPr>
          <w:rFonts w:asciiTheme="minorEastAsia" w:hAnsiTheme="minorEastAsia"/>
          <w:color w:val="000000"/>
          <w:sz w:val="24"/>
          <w:szCs w:val="24"/>
        </w:rPr>
        <w:t>在市</w:t>
      </w:r>
      <w:r>
        <w:rPr>
          <w:rFonts w:hint="eastAsia" w:asciiTheme="minorEastAsia" w:hAnsiTheme="minorEastAsia"/>
          <w:color w:val="000000"/>
          <w:sz w:val="24"/>
          <w:szCs w:val="24"/>
        </w:rPr>
        <w:t>区</w:t>
      </w:r>
      <w:r>
        <w:rPr>
          <w:rFonts w:asciiTheme="minorEastAsia" w:hAnsiTheme="minorEastAsia"/>
          <w:color w:val="000000"/>
          <w:sz w:val="24"/>
          <w:szCs w:val="24"/>
        </w:rPr>
        <w:t>外挂职教师</w:t>
      </w:r>
      <w:r>
        <w:rPr>
          <w:rFonts w:hint="eastAsia" w:asciiTheme="minorEastAsia" w:hAnsiTheme="minorEastAsia"/>
          <w:color w:val="000000"/>
          <w:sz w:val="24"/>
          <w:szCs w:val="24"/>
        </w:rPr>
        <w:t>享受学校一次性发放</w:t>
      </w:r>
      <w:r>
        <w:rPr>
          <w:rFonts w:asciiTheme="minorEastAsia" w:hAnsiTheme="minorEastAsia"/>
          <w:color w:val="000000"/>
          <w:sz w:val="24"/>
          <w:szCs w:val="24"/>
        </w:rPr>
        <w:t>3000元</w:t>
      </w:r>
      <w:r>
        <w:rPr>
          <w:rFonts w:hint="eastAsia" w:asciiTheme="minorEastAsia" w:hAnsiTheme="minorEastAsia"/>
          <w:color w:val="000000"/>
          <w:sz w:val="24"/>
          <w:szCs w:val="24"/>
        </w:rPr>
        <w:t>/半年</w:t>
      </w:r>
      <w:r>
        <w:rPr>
          <w:rFonts w:asciiTheme="minorEastAsia" w:hAnsiTheme="minorEastAsia"/>
          <w:color w:val="000000"/>
          <w:sz w:val="24"/>
          <w:szCs w:val="24"/>
        </w:rPr>
        <w:t>的生活补贴，在市</w:t>
      </w:r>
      <w:r>
        <w:rPr>
          <w:rFonts w:hint="eastAsia" w:asciiTheme="minorEastAsia" w:hAnsiTheme="minorEastAsia"/>
          <w:color w:val="000000"/>
          <w:sz w:val="24"/>
          <w:szCs w:val="24"/>
        </w:rPr>
        <w:t>区</w:t>
      </w:r>
      <w:r>
        <w:rPr>
          <w:rFonts w:asciiTheme="minorEastAsia" w:hAnsiTheme="minorEastAsia"/>
          <w:color w:val="000000"/>
          <w:sz w:val="24"/>
          <w:szCs w:val="24"/>
        </w:rPr>
        <w:t>内挂职教师享受学校一次性发放2000元</w:t>
      </w:r>
      <w:r>
        <w:rPr>
          <w:rFonts w:hint="eastAsia" w:asciiTheme="minorEastAsia" w:hAnsiTheme="minorEastAsia"/>
          <w:color w:val="000000"/>
          <w:sz w:val="24"/>
          <w:szCs w:val="24"/>
        </w:rPr>
        <w:t>/半年</w:t>
      </w:r>
      <w:r>
        <w:rPr>
          <w:rFonts w:asciiTheme="minorEastAsia" w:hAnsiTheme="minorEastAsia"/>
          <w:color w:val="000000"/>
          <w:sz w:val="24"/>
          <w:szCs w:val="24"/>
        </w:rPr>
        <w:t>的生活补贴。</w:t>
      </w:r>
    </w:p>
    <w:p>
      <w:pPr>
        <w:spacing w:line="520" w:lineRule="exact"/>
        <w:ind w:firstLine="570"/>
        <w:rPr>
          <w:rFonts w:asciiTheme="minorEastAsia" w:hAnsiTheme="minorEastAsia"/>
          <w:b/>
          <w:color w:val="000000"/>
          <w:sz w:val="24"/>
          <w:szCs w:val="24"/>
        </w:rPr>
      </w:pPr>
      <w:r>
        <w:rPr>
          <w:rFonts w:asciiTheme="minorEastAsia" w:hAnsiTheme="minorEastAsia"/>
          <w:b/>
          <w:color w:val="000000"/>
          <w:sz w:val="24"/>
          <w:szCs w:val="24"/>
        </w:rPr>
        <w:t>六</w:t>
      </w:r>
      <w:r>
        <w:rPr>
          <w:rFonts w:hint="eastAsia" w:asciiTheme="minorEastAsia" w:hAnsiTheme="minorEastAsia"/>
          <w:b/>
          <w:color w:val="000000"/>
          <w:sz w:val="24"/>
          <w:szCs w:val="24"/>
        </w:rPr>
        <w:t>、挂职考核</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挂职教师应在规定的时间内到挂职单位报到并接受工作，按规定完成挂职任务。挂职期间应接受学校与挂职学校双重管理，遵守挂职学校规章制度。对不服从安排、无故旷工、违纪违规者，视情况扣发岗位绩效和生活补助，并按学校相关规定处理。</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2.挂职教师任职结束后形成书面考核鉴定材料，存入本人档案，作为其职称评聘、职务晋升的重要依据。</w:t>
      </w:r>
    </w:p>
    <w:p>
      <w:pPr>
        <w:spacing w:line="520" w:lineRule="exact"/>
        <w:ind w:firstLine="472" w:firstLineChars="196"/>
        <w:rPr>
          <w:rFonts w:asciiTheme="minorEastAsia" w:hAnsiTheme="minorEastAsia"/>
          <w:b/>
          <w:color w:val="000000"/>
          <w:sz w:val="24"/>
          <w:szCs w:val="24"/>
        </w:rPr>
      </w:pPr>
      <w:r>
        <w:rPr>
          <w:rFonts w:hint="eastAsia" w:asciiTheme="minorEastAsia" w:hAnsiTheme="minorEastAsia"/>
          <w:b/>
          <w:color w:val="000000"/>
          <w:sz w:val="24"/>
          <w:szCs w:val="24"/>
        </w:rPr>
        <w:t>七</w:t>
      </w:r>
      <w:r>
        <w:rPr>
          <w:rFonts w:asciiTheme="minorEastAsia" w:hAnsiTheme="minorEastAsia"/>
          <w:b/>
          <w:color w:val="000000"/>
          <w:sz w:val="24"/>
          <w:szCs w:val="24"/>
        </w:rPr>
        <w:t xml:space="preserve"> 、组织领导和职责</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教务处每</w:t>
      </w:r>
      <w:r>
        <w:rPr>
          <w:rFonts w:hint="eastAsia" w:asciiTheme="minorEastAsia" w:hAnsiTheme="minorEastAsia"/>
          <w:color w:val="000000"/>
          <w:sz w:val="24"/>
          <w:szCs w:val="24"/>
        </w:rPr>
        <w:t>年六月</w:t>
      </w:r>
      <w:r>
        <w:rPr>
          <w:rFonts w:asciiTheme="minorEastAsia" w:hAnsiTheme="minorEastAsia"/>
          <w:color w:val="000000"/>
          <w:sz w:val="24"/>
          <w:szCs w:val="24"/>
        </w:rPr>
        <w:t>前做好挂职单位的联系工作，并向校内各教学单位分配相应专业的挂职</w:t>
      </w:r>
      <w:r>
        <w:rPr>
          <w:rFonts w:hint="eastAsia" w:asciiTheme="minorEastAsia" w:hAnsiTheme="minorEastAsia"/>
          <w:color w:val="000000"/>
          <w:sz w:val="24"/>
          <w:szCs w:val="24"/>
        </w:rPr>
        <w:t>教师数额。</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挂职人员的人事隶属关系不变，人事处负责挂职教师的宏观管理，会同挂职中学、教务处和相关</w:t>
      </w:r>
      <w:r>
        <w:rPr>
          <w:rFonts w:hint="eastAsia" w:asciiTheme="minorEastAsia" w:hAnsiTheme="minorEastAsia"/>
          <w:color w:val="000000"/>
          <w:sz w:val="24"/>
          <w:szCs w:val="24"/>
        </w:rPr>
        <w:t>教学单位对挂职教师进行考核。</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3.</w:t>
      </w:r>
      <w:r>
        <w:rPr>
          <w:rFonts w:asciiTheme="minorEastAsia" w:hAnsiTheme="minorEastAsia"/>
          <w:color w:val="000000"/>
          <w:sz w:val="24"/>
          <w:szCs w:val="24"/>
        </w:rPr>
        <w:t>各教学单位严格按照条件选派。在教师挂职期间，</w:t>
      </w:r>
      <w:r>
        <w:rPr>
          <w:rFonts w:hint="eastAsia" w:asciiTheme="minorEastAsia" w:hAnsiTheme="minorEastAsia"/>
          <w:color w:val="000000"/>
          <w:sz w:val="24"/>
          <w:szCs w:val="24"/>
        </w:rPr>
        <w:t>各二级学院应与挂职教师</w:t>
      </w:r>
      <w:r>
        <w:rPr>
          <w:rFonts w:asciiTheme="minorEastAsia" w:hAnsiTheme="minorEastAsia"/>
          <w:color w:val="000000"/>
          <w:sz w:val="24"/>
          <w:szCs w:val="24"/>
        </w:rPr>
        <w:t>保持经常性联系，关心和帮助他们解决工</w:t>
      </w:r>
      <w:r>
        <w:rPr>
          <w:rFonts w:hint="eastAsia" w:asciiTheme="minorEastAsia" w:hAnsiTheme="minorEastAsia"/>
          <w:color w:val="000000"/>
          <w:sz w:val="24"/>
          <w:szCs w:val="24"/>
        </w:rPr>
        <w:t>作、生活中的实际困难。教师挂职锻炼期间不安排校内工作和教学任务。</w:t>
      </w: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 </w:t>
      </w:r>
    </w:p>
    <w:p>
      <w:pPr>
        <w:spacing w:line="520" w:lineRule="exact"/>
        <w:ind w:firstLine="570"/>
        <w:rPr>
          <w:rFonts w:asciiTheme="minorEastAsia" w:hAnsiTheme="minorEastAsia"/>
          <w:color w:val="000000"/>
          <w:sz w:val="24"/>
          <w:szCs w:val="24"/>
        </w:rPr>
      </w:pPr>
      <w:r>
        <w:rPr>
          <w:rFonts w:hint="eastAsia" w:asciiTheme="minorEastAsia" w:hAnsiTheme="minorEastAsia"/>
          <w:color w:val="000000"/>
          <w:sz w:val="24"/>
          <w:szCs w:val="24"/>
        </w:rPr>
        <w:t>4.</w:t>
      </w:r>
      <w:r>
        <w:rPr>
          <w:rFonts w:asciiTheme="minorEastAsia" w:hAnsiTheme="minorEastAsia"/>
          <w:color w:val="000000"/>
          <w:sz w:val="24"/>
          <w:szCs w:val="24"/>
        </w:rPr>
        <w:t>教务处、计财处根据人事处对挂职教师的考核意见，负责落实挂职教师的</w:t>
      </w:r>
      <w:r>
        <w:rPr>
          <w:rFonts w:hint="eastAsia" w:asciiTheme="minorEastAsia" w:hAnsiTheme="minorEastAsia"/>
          <w:color w:val="000000"/>
          <w:sz w:val="24"/>
          <w:szCs w:val="24"/>
        </w:rPr>
        <w:t>津</w:t>
      </w:r>
      <w:r>
        <w:rPr>
          <w:rFonts w:asciiTheme="minorEastAsia" w:hAnsiTheme="minorEastAsia"/>
          <w:color w:val="000000"/>
          <w:sz w:val="24"/>
          <w:szCs w:val="24"/>
        </w:rPr>
        <w:t>补贴。</w:t>
      </w:r>
    </w:p>
    <w:p>
      <w:pPr>
        <w:spacing w:line="52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八、选派程序</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1.教务处每学期末向各二级学院公布下期挂职单位信息，各二级学院根据挂职单位的要求，在符合选派条件的教师中确定选派人员。</w:t>
      </w:r>
    </w:p>
    <w:p>
      <w:pPr>
        <w:spacing w:line="52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2.经学校教务处、人事处审核后，报学校院长办公会研究决定选派人员。</w:t>
      </w:r>
    </w:p>
    <w:p>
      <w:pPr>
        <w:spacing w:line="52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九、本办法自颁布之日起执行，由教务处、人事处负责解释。</w:t>
      </w:r>
    </w:p>
    <w:p>
      <w:pPr>
        <w:spacing w:line="520" w:lineRule="exact"/>
        <w:rPr>
          <w:rFonts w:asciiTheme="minorEastAsia" w:hAnsiTheme="minorEastAsia"/>
          <w:sz w:val="24"/>
          <w:szCs w:val="24"/>
        </w:rPr>
      </w:pPr>
    </w:p>
    <w:p>
      <w:pPr>
        <w:spacing w:line="520" w:lineRule="exact"/>
        <w:ind w:left="3574" w:hanging="3573" w:hangingChars="1489"/>
        <w:jc w:val="right"/>
        <w:rPr>
          <w:rFonts w:asciiTheme="minorEastAsia" w:hAnsiTheme="minorEastAsia"/>
          <w:sz w:val="24"/>
          <w:szCs w:val="24"/>
        </w:rPr>
      </w:pPr>
      <w:r>
        <w:rPr>
          <w:rFonts w:hint="eastAsia" w:asciiTheme="minorEastAsia" w:hAnsiTheme="minorEastAsia"/>
          <w:sz w:val="24"/>
          <w:szCs w:val="24"/>
        </w:rPr>
        <w:t>二○一○年七月二日</w:t>
      </w:r>
    </w:p>
    <w:p>
      <w:pPr>
        <w:spacing w:line="520" w:lineRule="exact"/>
        <w:rPr>
          <w:rFonts w:asciiTheme="minorEastAsia" w:hAnsiTheme="minorEastAsia"/>
          <w:sz w:val="24"/>
          <w:szCs w:val="24"/>
        </w:rPr>
      </w:pPr>
    </w:p>
    <w:p>
      <w:pPr>
        <w:spacing w:line="560" w:lineRule="exact"/>
        <w:ind w:firstLine="643" w:firstLineChars="200"/>
        <w:jc w:val="center"/>
        <w:rPr>
          <w:rFonts w:cs="Times New Roman" w:asciiTheme="majorEastAsia" w:hAnsiTheme="majorEastAsia" w:eastAsiaTheme="majorEastAsia"/>
          <w:b/>
          <w:sz w:val="32"/>
          <w:szCs w:val="32"/>
        </w:rPr>
      </w:pPr>
      <w:bookmarkStart w:id="58" w:name="_Toc501216547"/>
      <w:r>
        <w:rPr>
          <w:rFonts w:cs="Times New Roman" w:asciiTheme="majorEastAsia" w:hAnsiTheme="majorEastAsia" w:eastAsiaTheme="majorEastAsia"/>
          <w:b/>
          <w:sz w:val="32"/>
          <w:szCs w:val="32"/>
        </w:rPr>
        <w:t>内江师范学院本科生学业导师制实施办法</w:t>
      </w:r>
      <w:bookmarkEnd w:id="58"/>
    </w:p>
    <w:p>
      <w:pPr>
        <w:spacing w:line="560" w:lineRule="exact"/>
        <w:jc w:val="center"/>
        <w:rPr>
          <w:rFonts w:cs="Times New Roman" w:asciiTheme="minorEastAsia" w:hAnsiTheme="minorEastAsia"/>
          <w:b/>
          <w:sz w:val="28"/>
          <w:szCs w:val="28"/>
        </w:rPr>
      </w:pPr>
      <w:r>
        <w:rPr>
          <w:rFonts w:hint="eastAsia" w:cs="Times New Roman" w:asciiTheme="minorEastAsia" w:hAnsiTheme="minorEastAsia"/>
          <w:b/>
          <w:sz w:val="28"/>
          <w:szCs w:val="28"/>
        </w:rPr>
        <w:t>内师院发〔2018〕161号</w:t>
      </w:r>
    </w:p>
    <w:p>
      <w:pPr>
        <w:spacing w:line="400" w:lineRule="exact"/>
        <w:ind w:firstLine="480" w:firstLineChars="200"/>
        <w:rPr>
          <w:rFonts w:ascii="宋体" w:hAnsi="宋体" w:eastAsia="宋体" w:cs="宋体"/>
          <w:kern w:val="0"/>
          <w:sz w:val="24"/>
          <w:szCs w:val="18"/>
        </w:rPr>
      </w:pPr>
    </w:p>
    <w:p>
      <w:pPr>
        <w:spacing w:line="500" w:lineRule="exact"/>
        <w:ind w:firstLine="480" w:firstLineChars="200"/>
        <w:rPr>
          <w:rFonts w:cs="Times New Roman" w:asciiTheme="minorEastAsia" w:hAnsiTheme="minorEastAsia"/>
          <w:sz w:val="24"/>
          <w:szCs w:val="24"/>
        </w:rPr>
      </w:pPr>
      <w:r>
        <w:rPr>
          <w:rFonts w:hint="eastAsia" w:cs="宋体" w:asciiTheme="minorEastAsia" w:hAnsiTheme="minorEastAsia"/>
          <w:kern w:val="0"/>
          <w:sz w:val="24"/>
          <w:szCs w:val="24"/>
        </w:rPr>
        <w:t>为贯彻“学生中心”的教育教学理念，引导教师潜心教书育人，落实新时代全国高等学校本科教育工作会议精神，更好地实施因材施教和个性化培养，加强师生交流，加强对学生学业指导和职业发展规划指导，达成专业人才培养目标，特制定本办法。</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一、导师聘任条件</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1.坚持新时代中国特色社会主义理论，有坚定的政治方向；</w:t>
      </w:r>
      <w:r>
        <w:rPr>
          <w:rFonts w:hint="eastAsia" w:cs="宋体" w:asciiTheme="minorEastAsia" w:hAnsiTheme="minorEastAsia"/>
          <w:kern w:val="0"/>
          <w:sz w:val="24"/>
          <w:szCs w:val="24"/>
        </w:rPr>
        <w:t>热爱教育事业，具有良好的职业道德；</w:t>
      </w:r>
      <w:r>
        <w:rPr>
          <w:rFonts w:hint="eastAsia" w:cs="Times New Roman" w:asciiTheme="minorEastAsia" w:hAnsiTheme="minorEastAsia"/>
          <w:sz w:val="24"/>
          <w:szCs w:val="24"/>
        </w:rPr>
        <w:t>有高度的责任心，热爱教学、倾心教学、研究教学。严于律己，</w:t>
      </w:r>
      <w:r>
        <w:rPr>
          <w:rFonts w:hint="eastAsia" w:cs="宋体" w:asciiTheme="minorEastAsia" w:hAnsiTheme="minorEastAsia"/>
          <w:kern w:val="0"/>
          <w:sz w:val="24"/>
          <w:szCs w:val="24"/>
        </w:rPr>
        <w:t>为人师表，关心学生成长。</w:t>
      </w:r>
    </w:p>
    <w:p>
      <w:pPr>
        <w:spacing w:line="360" w:lineRule="auto"/>
        <w:ind w:firstLine="480" w:firstLineChars="200"/>
        <w:rPr>
          <w:rFonts w:cs="Times New Roman" w:asciiTheme="minorEastAsia" w:hAnsiTheme="minorEastAsia"/>
          <w:sz w:val="24"/>
          <w:szCs w:val="24"/>
        </w:rPr>
      </w:pPr>
      <w:r>
        <w:rPr>
          <w:rFonts w:hint="eastAsia" w:cs="宋体" w:asciiTheme="minorEastAsia" w:hAnsiTheme="minorEastAsia"/>
          <w:kern w:val="0"/>
          <w:sz w:val="24"/>
          <w:szCs w:val="24"/>
        </w:rPr>
        <w:t>2.</w:t>
      </w:r>
      <w:r>
        <w:rPr>
          <w:rFonts w:hint="eastAsia" w:cs="Times New Roman" w:asciiTheme="minorEastAsia" w:hAnsiTheme="minorEastAsia"/>
          <w:sz w:val="24"/>
          <w:szCs w:val="24"/>
        </w:rPr>
        <w:t>在学术上有一定造诣，有教育教学经验，懂教育教学规律。了解本专业的培养目标，熟悉本专业人才培养计划、各教学环节的相互关系及全部培养过程。</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3.一般应具备硕士研究生及以上学历或中级及以上职称。</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二、导师的主要职责</w:t>
      </w:r>
    </w:p>
    <w:p>
      <w:pPr>
        <w:spacing w:line="360" w:lineRule="auto"/>
        <w:ind w:firstLine="480" w:firstLineChars="200"/>
        <w:rPr>
          <w:rFonts w:cs="Times New Roman" w:asciiTheme="minorEastAsia" w:hAnsiTheme="minorEastAsia"/>
          <w:sz w:val="24"/>
          <w:szCs w:val="24"/>
        </w:rPr>
      </w:pPr>
      <w:r>
        <w:rPr>
          <w:rFonts w:hint="eastAsia" w:cs="宋体" w:asciiTheme="minorEastAsia" w:hAnsiTheme="minorEastAsia"/>
          <w:kern w:val="0"/>
          <w:sz w:val="24"/>
          <w:szCs w:val="24"/>
        </w:rPr>
        <w:t>1.关心学生的人生追求，</w:t>
      </w:r>
      <w:r>
        <w:rPr>
          <w:rFonts w:hint="eastAsia" w:cs="Times New Roman" w:asciiTheme="minorEastAsia" w:hAnsiTheme="minorEastAsia"/>
          <w:sz w:val="24"/>
          <w:szCs w:val="24"/>
        </w:rPr>
        <w:t>帮助学生德智体美劳全面发展，促进学生健康成才。</w:t>
      </w:r>
    </w:p>
    <w:p>
      <w:pPr>
        <w:widowControl/>
        <w:spacing w:line="360" w:lineRule="auto"/>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2.做好学生的专业思想教育。针对专业发展趋势、专业人才定位、课程设置以及就业去向等内容对学生进行专题教育，提高学生的专业认识，培养学生的专业学习兴趣，端正专业学习态度，形成良好的学习习惯。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3.指导学生制定并实施学业规划。帮助学生了解本专业的培养目标和毕业要求，根据学生的实际情况，选择深造、就业或创业的发展方向，指导学生确定学业规划，并在课程修读各环节给予指导。</w:t>
      </w:r>
    </w:p>
    <w:p>
      <w:pPr>
        <w:spacing w:line="360" w:lineRule="auto"/>
        <w:ind w:firstLine="480" w:firstLineChars="200"/>
        <w:rPr>
          <w:rFonts w:cs="宋体" w:asciiTheme="minorEastAsia" w:hAnsiTheme="minorEastAsia"/>
          <w:kern w:val="0"/>
          <w:sz w:val="24"/>
          <w:szCs w:val="24"/>
        </w:rPr>
      </w:pPr>
      <w:r>
        <w:rPr>
          <w:rFonts w:hint="eastAsia" w:cs="Times New Roman" w:asciiTheme="minorEastAsia" w:hAnsiTheme="minorEastAsia"/>
          <w:sz w:val="24"/>
          <w:szCs w:val="24"/>
        </w:rPr>
        <w:t>4.指导学生创新创业能力训练。指导学生参与课题研究、创新创</w:t>
      </w:r>
      <w:r>
        <w:rPr>
          <w:rFonts w:hint="eastAsia" w:cs="宋体" w:asciiTheme="minorEastAsia" w:hAnsiTheme="minorEastAsia"/>
          <w:kern w:val="0"/>
          <w:sz w:val="24"/>
          <w:szCs w:val="24"/>
        </w:rPr>
        <w:t>业项目、学科竞赛、科技活动等，培养学生的参与意识和创新创业能力。</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5.针对学生在学习进程中存在的其他具体问题进行相应指导。</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三、导师工作的基本要求</w:t>
      </w:r>
    </w:p>
    <w:p>
      <w:pPr>
        <w:spacing w:line="360" w:lineRule="auto"/>
        <w:ind w:firstLine="480" w:firstLineChars="200"/>
        <w:rPr>
          <w:rFonts w:cs="Times New Roman" w:asciiTheme="minorEastAsia" w:hAnsiTheme="minorEastAsia"/>
          <w:spacing w:val="-2"/>
          <w:sz w:val="24"/>
          <w:szCs w:val="24"/>
        </w:rPr>
      </w:pPr>
      <w:r>
        <w:rPr>
          <w:rFonts w:hint="eastAsia" w:cs="Times New Roman" w:asciiTheme="minorEastAsia" w:hAnsiTheme="minorEastAsia"/>
          <w:sz w:val="24"/>
          <w:szCs w:val="24"/>
        </w:rPr>
        <w:t>1.导师应在二级学院的统一组织下开展指导工作，</w:t>
      </w:r>
      <w:r>
        <w:rPr>
          <w:rFonts w:hint="eastAsia" w:cs="Times New Roman" w:asciiTheme="minorEastAsia" w:hAnsiTheme="minorEastAsia"/>
          <w:spacing w:val="-2"/>
          <w:sz w:val="24"/>
          <w:szCs w:val="24"/>
        </w:rPr>
        <w:t>对所指导的学生既要热情关怀又要严格要求。</w:t>
      </w:r>
    </w:p>
    <w:p>
      <w:pPr>
        <w:spacing w:line="360" w:lineRule="auto"/>
        <w:ind w:firstLine="472" w:firstLineChars="200"/>
        <w:rPr>
          <w:rFonts w:cs="Times New Roman" w:asciiTheme="minorEastAsia" w:hAnsiTheme="minorEastAsia"/>
          <w:sz w:val="24"/>
          <w:szCs w:val="24"/>
        </w:rPr>
      </w:pPr>
      <w:r>
        <w:rPr>
          <w:rFonts w:hint="eastAsia" w:cs="Times New Roman" w:asciiTheme="minorEastAsia" w:hAnsiTheme="minorEastAsia"/>
          <w:spacing w:val="-2"/>
          <w:sz w:val="24"/>
          <w:szCs w:val="24"/>
        </w:rPr>
        <w:t>2.</w:t>
      </w:r>
      <w:r>
        <w:rPr>
          <w:rFonts w:hint="eastAsia" w:cs="Times New Roman" w:asciiTheme="minorEastAsia" w:hAnsiTheme="minorEastAsia"/>
          <w:sz w:val="24"/>
          <w:szCs w:val="24"/>
        </w:rPr>
        <w:t>导师应定期与所指导的学生交流，了解学生的心理、思想和学习等方面状况，及时指导。交流次数每月不得少于1次，并应有记录。</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3.导师应配合二级学院，做好学生的思想政治教育、综合测评等工作。</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四、导师聘任办法</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1.教书育人是教师的本分，对学生进行学业指导是教师的基本工作职责。凡符合学业导师任职资格的我校教师必须担任本科生学业导师工作。</w:t>
      </w:r>
    </w:p>
    <w:p>
      <w:pPr>
        <w:widowControl/>
        <w:spacing w:line="360" w:lineRule="auto"/>
        <w:ind w:firstLine="480" w:firstLineChars="200"/>
        <w:jc w:val="left"/>
        <w:rPr>
          <w:rFonts w:cs="宋体" w:asciiTheme="minorEastAsia" w:hAnsiTheme="minorEastAsia"/>
          <w:kern w:val="0"/>
          <w:sz w:val="24"/>
          <w:szCs w:val="24"/>
        </w:rPr>
      </w:pPr>
      <w:r>
        <w:rPr>
          <w:rFonts w:hint="eastAsia" w:cs="Times New Roman" w:asciiTheme="minorEastAsia" w:hAnsiTheme="minorEastAsia"/>
          <w:sz w:val="24"/>
          <w:szCs w:val="24"/>
        </w:rPr>
        <w:t>2.导师实</w:t>
      </w:r>
      <w:r>
        <w:rPr>
          <w:rFonts w:hint="eastAsia" w:cs="宋体" w:asciiTheme="minorEastAsia" w:hAnsiTheme="minorEastAsia"/>
          <w:kern w:val="0"/>
          <w:sz w:val="24"/>
          <w:szCs w:val="24"/>
        </w:rPr>
        <w:t>行聘任制，由各二级学院在全校范围内自主聘任。每名学业导师指导的学生（四个年级累计）一般不超过40人。校内跨单位选聘的，需经所聘教师所在单位同意。鼓励各二级学院结合创新创业教育和双师型建设需要，从合作企事业单位聘任兼职学业导师。</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3.学业导师的选聘每学年新生入学（9月份）进行一次，并把选聘结果和所指导学生的详细名单报教务处备案。各二级学院可以根据实际情况，建立由高级职称教师牵头的学业导师组，共同开展学业指导工作。</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4.学校鼓励学业导师和学生的“双向选择”。学业导师一经确定，原则上不予调整，直至学生毕业。确有特殊情况需要调整的，需提交书面申请，二级学院签署意见后报教务处备案。</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五、导师的管理</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1.学校成立由</w:t>
      </w:r>
      <w:r>
        <w:fldChar w:fldCharType="begin"/>
      </w:r>
      <w:r>
        <w:instrText xml:space="preserve"> HYPERLINK "http://jwc.xidian.edu.cn/" </w:instrText>
      </w:r>
      <w:r>
        <w:fldChar w:fldCharType="separate"/>
      </w:r>
      <w:r>
        <w:rPr>
          <w:rFonts w:hint="eastAsia" w:cs="宋体" w:asciiTheme="minorEastAsia" w:hAnsiTheme="minorEastAsia"/>
          <w:kern w:val="0"/>
          <w:sz w:val="24"/>
          <w:szCs w:val="24"/>
        </w:rPr>
        <w:t>教务处</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、学生工作处、人事处为成员单位的工作组，指导学业导师制的有效运行。</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2.二级学院成立相应工作小组，负责学业导师的日常管理，包括遴选、聘任、改聘、评估考核。每学期应有学业导师工作计划、总结，并定期召开工作会议，以便于导师间交流经验，提高指导能力。</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3.二级学院建立学业导师档案，检查并记录导师开展工作情况，作为导师考核评价重要依据。</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学业导师年度考核工作由学院安排落实，考核等级建议分为优秀、合格和不合格，其中优秀比例不高于10%，不合格的学业导师应及时解聘。考核结果报送教务处审核后，在人事处备案，并作为教师专业技术职务晋升、评奖评优的条件之一。</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5.二级学院从绩效中单独预算专项经费，用于学业导师开展工作。</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六、附则</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本办法从2018级本科生起开始执行，由教务处负责解释。原《内江师范学院导师制实行办法》同时废止。</w:t>
      </w:r>
    </w:p>
    <w:p>
      <w:pPr>
        <w:spacing w:line="360" w:lineRule="auto"/>
        <w:ind w:firstLine="480" w:firstLineChars="200"/>
        <w:jc w:val="right"/>
        <w:rPr>
          <w:rFonts w:cs="Times New Roman" w:asciiTheme="minorEastAsia" w:hAnsiTheme="minorEastAsia"/>
          <w:sz w:val="24"/>
          <w:szCs w:val="24"/>
        </w:rPr>
      </w:pPr>
    </w:p>
    <w:p>
      <w:pPr>
        <w:spacing w:line="594" w:lineRule="exact"/>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2018年10月31日</w:t>
      </w:r>
    </w:p>
    <w:p>
      <w:pPr>
        <w:spacing w:line="56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内江师范学院领导干部听课制度（修订）</w:t>
      </w:r>
    </w:p>
    <w:p>
      <w:pPr>
        <w:spacing w:line="560" w:lineRule="exact"/>
        <w:jc w:val="center"/>
        <w:rPr>
          <w:rFonts w:asciiTheme="majorEastAsia" w:hAnsiTheme="majorEastAsia" w:eastAsiaTheme="majorEastAsia"/>
          <w:b/>
          <w:sz w:val="28"/>
          <w:szCs w:val="28"/>
        </w:rPr>
      </w:pPr>
      <w:r>
        <w:rPr>
          <w:rFonts w:asciiTheme="majorEastAsia" w:hAnsiTheme="majorEastAsia" w:eastAsiaTheme="majorEastAsia"/>
          <w:b/>
          <w:bCs/>
          <w:sz w:val="28"/>
          <w:szCs w:val="28"/>
        </w:rPr>
        <w:t> </w:t>
      </w:r>
      <w:r>
        <w:rPr>
          <w:rFonts w:hint="eastAsia" w:asciiTheme="majorEastAsia" w:hAnsiTheme="majorEastAsia" w:eastAsiaTheme="majorEastAsia"/>
          <w:b/>
          <w:sz w:val="28"/>
          <w:szCs w:val="28"/>
        </w:rPr>
        <w:t>内师教字〔2009〕66号</w:t>
      </w:r>
    </w:p>
    <w:p>
      <w:pPr>
        <w:spacing w:line="560" w:lineRule="exact"/>
        <w:jc w:val="center"/>
        <w:rPr>
          <w:rFonts w:ascii="方正仿宋简体" w:hAnsi="Times New Roman" w:eastAsia="方正仿宋简体"/>
          <w:bCs/>
          <w:szCs w:val="32"/>
        </w:rPr>
      </w:pPr>
    </w:p>
    <w:p>
      <w:pPr>
        <w:spacing w:line="360" w:lineRule="auto"/>
        <w:ind w:firstLine="460" w:firstLineChars="192"/>
        <w:rPr>
          <w:rFonts w:asciiTheme="minorEastAsia" w:hAnsiTheme="minorEastAsia"/>
          <w:bCs/>
          <w:sz w:val="24"/>
          <w:szCs w:val="24"/>
        </w:rPr>
      </w:pPr>
      <w:r>
        <w:rPr>
          <w:rFonts w:hint="eastAsia" w:asciiTheme="minorEastAsia" w:hAnsiTheme="minorEastAsia"/>
          <w:bCs/>
          <w:sz w:val="24"/>
          <w:szCs w:val="24"/>
        </w:rPr>
        <w:t>教学工作是学校的中心工作。</w:t>
      </w:r>
      <w:r>
        <w:rPr>
          <w:rFonts w:hint="eastAsia" w:asciiTheme="minorEastAsia" w:hAnsiTheme="minorEastAsia"/>
          <w:bCs/>
          <w:color w:val="000000"/>
          <w:sz w:val="24"/>
          <w:szCs w:val="24"/>
        </w:rPr>
        <w:t>各级领导干部深入课堂听课是了解和掌握教学</w:t>
      </w:r>
      <w:r>
        <w:rPr>
          <w:rFonts w:hint="eastAsia" w:asciiTheme="minorEastAsia" w:hAnsiTheme="minorEastAsia"/>
          <w:bCs/>
          <w:sz w:val="24"/>
          <w:szCs w:val="24"/>
        </w:rPr>
        <w:t>第</w:t>
      </w:r>
      <w:r>
        <w:rPr>
          <w:rFonts w:hint="eastAsia" w:asciiTheme="minorEastAsia" w:hAnsiTheme="minorEastAsia"/>
          <w:bCs/>
          <w:color w:val="000000"/>
          <w:sz w:val="24"/>
          <w:szCs w:val="24"/>
        </w:rPr>
        <w:t>一线情况，</w:t>
      </w:r>
      <w:r>
        <w:rPr>
          <w:rFonts w:hint="eastAsia" w:asciiTheme="minorEastAsia" w:hAnsiTheme="minorEastAsia"/>
          <w:bCs/>
          <w:sz w:val="24"/>
          <w:szCs w:val="24"/>
        </w:rPr>
        <w:t>及时发现和解决教学中存在的问题、</w:t>
      </w:r>
      <w:r>
        <w:rPr>
          <w:rFonts w:hint="eastAsia" w:asciiTheme="minorEastAsia" w:hAnsiTheme="minorEastAsia"/>
          <w:bCs/>
          <w:color w:val="000000"/>
          <w:sz w:val="24"/>
          <w:szCs w:val="24"/>
        </w:rPr>
        <w:t>改进教学工作的重要途径和保证教学质量的重要举措。</w:t>
      </w:r>
      <w:r>
        <w:rPr>
          <w:rFonts w:hint="eastAsia" w:asciiTheme="minorEastAsia" w:hAnsiTheme="minorEastAsia"/>
          <w:bCs/>
          <w:sz w:val="24"/>
          <w:szCs w:val="24"/>
        </w:rPr>
        <w:t>为了进一步确立教学工作的中心地位，加强教学管理，健全教学质量监控与保障体系，提高教师教学水平和本科教学质量，强化管理育人和服务教学的意识，促进领导干部转变工作作风，深入课堂，主动为教学一线服务，根据教育部《关于进一步深化本科教学改革全面提高教学质量的若干意见》(教高〔2007〕2号)及我校实际，特对本制度修订如下。</w:t>
      </w:r>
    </w:p>
    <w:p>
      <w:pPr>
        <w:tabs>
          <w:tab w:val="left" w:pos="700"/>
          <w:tab w:val="left" w:pos="854"/>
          <w:tab w:val="left" w:pos="900"/>
        </w:tabs>
        <w:adjustRightInd w:val="0"/>
        <w:snapToGrid w:val="0"/>
        <w:spacing w:line="360" w:lineRule="auto"/>
        <w:ind w:firstLine="482" w:firstLineChars="200"/>
        <w:rPr>
          <w:rFonts w:asciiTheme="minorEastAsia" w:hAnsiTheme="minorEastAsia"/>
          <w:b/>
          <w:bCs/>
          <w:color w:val="333333"/>
          <w:sz w:val="24"/>
          <w:szCs w:val="24"/>
        </w:rPr>
      </w:pPr>
      <w:r>
        <w:rPr>
          <w:rFonts w:hint="eastAsia" w:asciiTheme="minorEastAsia" w:hAnsiTheme="minorEastAsia"/>
          <w:b/>
          <w:bCs/>
          <w:color w:val="333333"/>
          <w:sz w:val="24"/>
          <w:szCs w:val="24"/>
        </w:rPr>
        <w:t>一、听课人员与听课学时</w:t>
      </w:r>
    </w:p>
    <w:p>
      <w:pPr>
        <w:tabs>
          <w:tab w:val="left" w:pos="700"/>
        </w:tabs>
        <w:adjustRightInd w:val="0"/>
        <w:snapToGrid w:val="0"/>
        <w:spacing w:line="360" w:lineRule="auto"/>
        <w:ind w:left="-28" w:firstLine="446" w:firstLineChars="186"/>
        <w:rPr>
          <w:rFonts w:asciiTheme="minorEastAsia" w:hAnsiTheme="minorEastAsia"/>
          <w:bCs/>
          <w:sz w:val="24"/>
          <w:szCs w:val="24"/>
        </w:rPr>
      </w:pPr>
      <w:r>
        <w:rPr>
          <w:rFonts w:hint="eastAsia" w:asciiTheme="minorEastAsia" w:hAnsiTheme="minorEastAsia"/>
          <w:bCs/>
          <w:sz w:val="24"/>
          <w:szCs w:val="24"/>
        </w:rPr>
        <w:t>1.学校领导每人每学期听课不少于4学时，其中主管教学工作的副校长每学期听课不少于8学时；</w:t>
      </w:r>
    </w:p>
    <w:p>
      <w:pPr>
        <w:tabs>
          <w:tab w:val="left" w:pos="700"/>
        </w:tabs>
        <w:adjustRightInd w:val="0"/>
        <w:snapToGrid w:val="0"/>
        <w:spacing w:line="360" w:lineRule="auto"/>
        <w:ind w:left="-28" w:firstLine="446" w:firstLineChars="186"/>
        <w:rPr>
          <w:rFonts w:asciiTheme="minorEastAsia" w:hAnsiTheme="minorEastAsia"/>
          <w:bCs/>
          <w:sz w:val="24"/>
          <w:szCs w:val="24"/>
        </w:rPr>
      </w:pPr>
      <w:r>
        <w:rPr>
          <w:rFonts w:hint="eastAsia" w:asciiTheme="minorEastAsia" w:hAnsiTheme="minorEastAsia"/>
          <w:bCs/>
          <w:sz w:val="24"/>
          <w:szCs w:val="24"/>
        </w:rPr>
        <w:t>2.学校党政职能部门处级领导干部（教务处除外）每人每学期听课不少于4学时；教务处处长、副处长，每人每学期听课不少于8学时；</w:t>
      </w:r>
    </w:p>
    <w:p>
      <w:pPr>
        <w:tabs>
          <w:tab w:val="left" w:pos="700"/>
        </w:tabs>
        <w:adjustRightInd w:val="0"/>
        <w:snapToGrid w:val="0"/>
        <w:spacing w:line="360" w:lineRule="auto"/>
        <w:ind w:left="-28" w:firstLine="446" w:firstLineChars="186"/>
        <w:rPr>
          <w:rFonts w:asciiTheme="minorEastAsia" w:hAnsiTheme="minorEastAsia"/>
          <w:bCs/>
          <w:sz w:val="24"/>
          <w:szCs w:val="24"/>
        </w:rPr>
      </w:pPr>
      <w:r>
        <w:rPr>
          <w:rFonts w:hint="eastAsia" w:asciiTheme="minorEastAsia" w:hAnsiTheme="minorEastAsia"/>
          <w:bCs/>
          <w:sz w:val="24"/>
          <w:szCs w:val="24"/>
        </w:rPr>
        <w:t>3.各二级学院院长、党总支书记、副院长、副书记和教学办公室（以下简称教学办）、学生工作办公室（以下简称学工办）主任、副主任、学生辅导员，每人每学期听课不少于8学时；</w:t>
      </w:r>
    </w:p>
    <w:p>
      <w:pPr>
        <w:spacing w:line="360" w:lineRule="auto"/>
        <w:ind w:firstLine="460" w:firstLineChars="192"/>
        <w:rPr>
          <w:rFonts w:asciiTheme="minorEastAsia" w:hAnsiTheme="minorEastAsia"/>
          <w:bCs/>
          <w:sz w:val="24"/>
          <w:szCs w:val="24"/>
        </w:rPr>
      </w:pPr>
      <w:r>
        <w:rPr>
          <w:rFonts w:hint="eastAsia" w:asciiTheme="minorEastAsia" w:hAnsiTheme="minorEastAsia"/>
          <w:bCs/>
          <w:sz w:val="24"/>
          <w:szCs w:val="24"/>
        </w:rPr>
        <w:t>4.各二级学院教研室、实验室主任、副主任，每人每学期听课不少于12学时。</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二、听课范围与听课方式</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1.听课范围主要是面向全日制本、专科生所开课程（含理论课、实验课等），重点是公共课、新开课和开新课的课程。</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2.学校领导、教务处处长及副处长在全校开设的所有课程范围内随机听课，以单独听课为主。</w:t>
      </w:r>
    </w:p>
    <w:p>
      <w:pPr>
        <w:spacing w:line="360" w:lineRule="auto"/>
        <w:ind w:firstLine="460" w:firstLineChars="192"/>
        <w:rPr>
          <w:rFonts w:asciiTheme="minorEastAsia" w:hAnsiTheme="minorEastAsia"/>
          <w:bCs/>
          <w:sz w:val="24"/>
          <w:szCs w:val="24"/>
        </w:rPr>
      </w:pPr>
      <w:r>
        <w:rPr>
          <w:rFonts w:hint="eastAsia" w:asciiTheme="minorEastAsia" w:hAnsiTheme="minorEastAsia"/>
          <w:bCs/>
          <w:sz w:val="24"/>
          <w:szCs w:val="24"/>
        </w:rPr>
        <w:t>3.各二级学院院长、副院长、教学办、教研室、实验室主任、副主任，主要听本二级学院教师主讲的课程（含理论课、实验实习课等）。各二级学院党总支书记、副书记、学工办主任、副主任和学生辅导员主要听面向本学院学生开设的课程。各二级学院应制定学期听课计划，有目的、有计划地开展听课。听课可采取集体听课、集体评议的方式，也可以采取随机、单独听课的方式。</w:t>
      </w:r>
    </w:p>
    <w:p>
      <w:pPr>
        <w:spacing w:line="360" w:lineRule="auto"/>
        <w:rPr>
          <w:rFonts w:asciiTheme="minorEastAsia" w:hAnsiTheme="minorEastAsia"/>
          <w:b/>
          <w:bCs/>
          <w:sz w:val="24"/>
          <w:szCs w:val="24"/>
        </w:rPr>
      </w:pPr>
      <w:r>
        <w:rPr>
          <w:rFonts w:hint="eastAsia" w:asciiTheme="minorEastAsia" w:hAnsiTheme="minorEastAsia"/>
          <w:bCs/>
          <w:sz w:val="24"/>
          <w:szCs w:val="24"/>
        </w:rPr>
        <w:t xml:space="preserve">     </w:t>
      </w:r>
      <w:r>
        <w:rPr>
          <w:rFonts w:hint="eastAsia" w:asciiTheme="minorEastAsia" w:hAnsiTheme="minorEastAsia"/>
          <w:b/>
          <w:bCs/>
          <w:sz w:val="24"/>
          <w:szCs w:val="24"/>
        </w:rPr>
        <w:t>三、听课要求</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1.各类人员一般应随机听课，不得事先通知被听课教师，以免影响正常教学，妨碍了解教师在自然状态下的教学情况。</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各类人员在听课前需自备《内江师范学院听课记录表》，具有副高级及以上专业技术职称的听课人员，还需自备《内江师范学院课堂教学质量评价表》；上述两种表格可在教务处网站下载或到教务处教学建设与质量监控科直接领取。听课人员在听课时应佩戴由教务处统一制作的听课证。</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3.每次听课应至少听完1节课。听课时须尊重授课教师。除因非常特殊的情况，不得迟到和中途离开。</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4.各类人员在听课过程中，应注意观察教师上课和学生听课的基本情况，教室设备、设施和环境状况，认真填写《内江师范学院听课记录表》，请授课教师在听课记录表上签名。具有副高级及以上专业技术职称的听课人员还应实事求是地填写《内江师范学院课堂教学质量评价表》，对教师的授课质量作出客观评价并在课后尽可能与师生交换意见。</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5.各类听课人员对在听课中发现的问题，如属于其所在部门职责范围的，应尽快妥善解决；属于其他部门职责范围的，应及时向有关部门反映，有关部门应及时给予回复或解决。</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6.学校领导及党政职能部门处级领导干部在听课时主要应对教师的教学态度、备课情况、基本教学环节的掌握、教学方法的运用和课堂气氛的掌控等方面做出评价和分析；二级学院听课人员在听课时除了了解上述内容外，教学系统听课人员（院长、副院长、教学办、教研室、实验室主任、副主任）还应着重对教学大纲的贯彻、教学内容的选择、重点难点的把握等方面做出全面评价和分析；学生工作系统听课人员（二级学院书记、副书记、学工办主任、副主任，学生辅导员）还应着重对学生的出勤、上课准备、上课状态、学习效果等进行全面了解，发现问题，及时解决。</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四、听课管理</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1.学校领导、党政职能部门领导及各二级学院领导干部的听课记录表，由教务处指定专人收取，并对听课情况进行统计处理、汇总分析，形成领导干部听课情况的总结报告，并将结果及时反馈到二级学院，由二级学院反馈给教师本人。</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各二级学院的听课记录表由教学办主任负责收齐，并做好汇总统计，连同统计表（电子版）每半学期上交一次教务处。期末（第十七周）提交听课记录时，还应对本学院本学期听课情况进行汇总分析，写出学期听课情况总结，一并上交教务处。</w:t>
      </w:r>
    </w:p>
    <w:p>
      <w:pPr>
        <w:spacing w:line="360" w:lineRule="auto"/>
        <w:ind w:firstLine="460" w:firstLineChars="192"/>
        <w:rPr>
          <w:rFonts w:asciiTheme="minorEastAsia" w:hAnsiTheme="minorEastAsia"/>
          <w:bCs/>
          <w:sz w:val="24"/>
          <w:szCs w:val="24"/>
        </w:rPr>
      </w:pPr>
      <w:r>
        <w:rPr>
          <w:rFonts w:hint="eastAsia" w:asciiTheme="minorEastAsia" w:hAnsiTheme="minorEastAsia"/>
          <w:bCs/>
          <w:sz w:val="24"/>
          <w:szCs w:val="24"/>
        </w:rPr>
        <w:t>2.全校各级领导干部每学期听课情况将采取在学校中层领导干部大会上口头通报和张榜公布等方式进行公布，将完成听课的结果纳入单位年度考核。</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五、其他</w:t>
      </w:r>
    </w:p>
    <w:p>
      <w:pPr>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本制度</w:t>
      </w:r>
      <w:r>
        <w:rPr>
          <w:rFonts w:hint="eastAsia" w:asciiTheme="minorEastAsia" w:hAnsiTheme="minorEastAsia"/>
          <w:sz w:val="24"/>
          <w:szCs w:val="24"/>
        </w:rPr>
        <w:t>从发布之日起执行</w:t>
      </w:r>
      <w:r>
        <w:rPr>
          <w:rFonts w:hint="eastAsia" w:asciiTheme="minorEastAsia" w:hAnsiTheme="minorEastAsia"/>
          <w:bCs/>
          <w:sz w:val="24"/>
          <w:szCs w:val="24"/>
        </w:rPr>
        <w:t>，由教务处负责解释。原《内江师范学院领导干部听课制度》同时废止。</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 xml:space="preserve">                          二○○九年十月二十三日</w:t>
      </w: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br w:type="page"/>
      </w:r>
    </w:p>
    <w:p>
      <w:pPr>
        <w:widowControl/>
        <w:spacing w:line="560" w:lineRule="exact"/>
        <w:ind w:firstLine="629"/>
        <w:jc w:val="center"/>
        <w:rPr>
          <w:rFonts w:cs="宋体" w:asciiTheme="minorEastAsia" w:hAnsiTheme="minorEastAsia"/>
          <w:b/>
          <w:kern w:val="0"/>
          <w:sz w:val="32"/>
          <w:szCs w:val="32"/>
        </w:rPr>
      </w:pPr>
      <w:r>
        <w:rPr>
          <w:rFonts w:hint="eastAsia" w:cs="宋体" w:asciiTheme="minorEastAsia" w:hAnsiTheme="minorEastAsia"/>
          <w:b/>
          <w:kern w:val="0"/>
          <w:sz w:val="32"/>
          <w:szCs w:val="32"/>
        </w:rPr>
        <w:t>内江师范学院教学指导委员会章程</w:t>
      </w:r>
    </w:p>
    <w:p>
      <w:pPr>
        <w:widowControl/>
        <w:spacing w:line="560" w:lineRule="exact"/>
        <w:ind w:firstLine="629"/>
        <w:jc w:val="center"/>
        <w:rPr>
          <w:rFonts w:cs="宋体" w:asciiTheme="minorEastAsia" w:hAnsiTheme="minorEastAsia"/>
          <w:b/>
          <w:kern w:val="0"/>
          <w:sz w:val="28"/>
          <w:szCs w:val="28"/>
        </w:rPr>
      </w:pPr>
      <w:r>
        <w:rPr>
          <w:rFonts w:hint="eastAsia" w:cs="宋体" w:asciiTheme="minorEastAsia" w:hAnsiTheme="minorEastAsia"/>
          <w:b/>
          <w:kern w:val="0"/>
          <w:sz w:val="28"/>
          <w:szCs w:val="28"/>
        </w:rPr>
        <w:t>内师院发〔2017〕19号</w:t>
      </w:r>
    </w:p>
    <w:p>
      <w:pPr>
        <w:widowControl/>
        <w:spacing w:line="560" w:lineRule="exact"/>
        <w:ind w:firstLine="629"/>
        <w:jc w:val="center"/>
        <w:rPr>
          <w:rFonts w:cs="宋体" w:asciiTheme="minorEastAsia" w:hAnsiTheme="minorEastAsia"/>
          <w:b/>
          <w:kern w:val="0"/>
          <w:sz w:val="24"/>
          <w:szCs w:val="24"/>
        </w:rPr>
      </w:pPr>
    </w:p>
    <w:p>
      <w:pPr>
        <w:widowControl/>
        <w:spacing w:line="360" w:lineRule="auto"/>
        <w:ind w:firstLine="629"/>
        <w:jc w:val="center"/>
        <w:rPr>
          <w:rFonts w:cs="宋体" w:asciiTheme="minorEastAsia" w:hAnsiTheme="minorEastAsia"/>
          <w:b/>
          <w:kern w:val="0"/>
          <w:sz w:val="24"/>
          <w:szCs w:val="24"/>
        </w:rPr>
      </w:pPr>
      <w:r>
        <w:rPr>
          <w:rFonts w:hint="eastAsia" w:cs="宋体" w:asciiTheme="minorEastAsia" w:hAnsiTheme="minorEastAsia"/>
          <w:b/>
          <w:kern w:val="0"/>
          <w:sz w:val="24"/>
          <w:szCs w:val="24"/>
        </w:rPr>
        <w:t>第一章   总  则</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第一条  为加强学校对教学工作的指导，提升人才培养质量，推动教育教学改革，学校成立“内江师范学院教学指导委员会”，并制定本章程。</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第二条  教学指导委员会是在学校领导下，对学校教学工作进行研究、指导，为人才培养工作提供咨询和服务的专家组织。</w:t>
      </w:r>
    </w:p>
    <w:p>
      <w:pPr>
        <w:widowControl/>
        <w:spacing w:line="360" w:lineRule="auto"/>
        <w:ind w:firstLine="629"/>
        <w:jc w:val="center"/>
        <w:rPr>
          <w:rFonts w:cs="宋体" w:asciiTheme="minorEastAsia" w:hAnsiTheme="minorEastAsia"/>
          <w:kern w:val="0"/>
          <w:sz w:val="24"/>
          <w:szCs w:val="24"/>
        </w:rPr>
      </w:pPr>
      <w:r>
        <w:rPr>
          <w:rFonts w:hint="eastAsia" w:cs="宋体" w:asciiTheme="minorEastAsia" w:hAnsiTheme="minorEastAsia"/>
          <w:b/>
          <w:bCs/>
          <w:kern w:val="0"/>
          <w:sz w:val="24"/>
          <w:szCs w:val="24"/>
        </w:rPr>
        <w:t>第二章  组  织</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第三条  教学指导委员会候选人名单在广泛征求意见的基础上确定，经校长办公会议通过后，由学校聘任。聘任条件为：</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1. 具有高级专业技术职称，且高校教龄不少于5年；</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2. 思想政治素质好，热心学校教育事业；</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3.教学水平高，教学工作或管理工作经验丰富；</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4.身体健康、作风正派，能认真履行职责。</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第四条  教学指导委员会委员实行任期制，任期四年。</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第五条  教学指导委员会设正副主任各1名，委员15～21人。主任委员由校长担任，副主任委员由分管教学工作的副校长担任，委员由各相关学科领域专家、教授组成。</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第六条  教学指导委员会可根据教学工作需要，临时设立专门工作小组，其成员不限于委员会委员，可根据实际需要纳入校内行政职能部门和教学单位的人员组成，必要时也可邀请校外专家加入。</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第七条  各二级学院成立“教学指导分委员会”，负责本学院教学指导相关工作。</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第八条  教学指导委员会设秘书处，挂靠教务处，秘书长由教务处长担任。秘书处负责教学指导委员会的日常运行工作，具体实施教学指导委员会的有关决议。</w:t>
      </w:r>
    </w:p>
    <w:p>
      <w:pPr>
        <w:widowControl/>
        <w:spacing w:line="360" w:lineRule="auto"/>
        <w:ind w:firstLine="629"/>
        <w:jc w:val="center"/>
        <w:rPr>
          <w:rFonts w:cs="宋体" w:asciiTheme="minorEastAsia" w:hAnsiTheme="minorEastAsia"/>
          <w:b/>
          <w:kern w:val="0"/>
          <w:sz w:val="24"/>
          <w:szCs w:val="24"/>
        </w:rPr>
      </w:pPr>
      <w:r>
        <w:rPr>
          <w:rFonts w:hint="eastAsia" w:cs="宋体" w:asciiTheme="minorEastAsia" w:hAnsiTheme="minorEastAsia"/>
          <w:b/>
          <w:kern w:val="0"/>
          <w:sz w:val="24"/>
          <w:szCs w:val="24"/>
        </w:rPr>
        <w:t>第三章  职  责</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第九条  全面了解学校的教学工作状况，针对学校的教育教学改革和发展的重大问题开展专题调研，对学校的教学工作提出建议和意见。</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第十条  指导制定学校专业发展规划，对专业的设置与调整提出意见和建议。</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第十一条  对学校人才培养模式改革进行规划和设计，指导人才培养方案的制（修）订，审定各专业人才培养方案。</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第十二条  为课程建设、教材建设、教学实验室建设等全校教学工作提供咨询和指导。</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第十三条  为学校教学改革的方向性决策提供咨询，审议教学改革研究项目课题指南和立项申请，并参与相应的教改方案论证和重要项目的验收。</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第十四条  审议学校教学工作的有关政策，对教学管理工作提出意见和建议。</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第十五条  指导并协调各二级学院教学指导分委员会的工作；指导、审议教学指导分委员会和专门工作小组提供的具体方案与报告。</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第十六条  接受学校委托的其他有关教育与教学的事宜。</w:t>
      </w:r>
    </w:p>
    <w:p>
      <w:pPr>
        <w:widowControl/>
        <w:spacing w:line="360" w:lineRule="auto"/>
        <w:ind w:firstLine="629"/>
        <w:jc w:val="center"/>
        <w:rPr>
          <w:rFonts w:cs="宋体" w:asciiTheme="minorEastAsia" w:hAnsiTheme="minorEastAsia"/>
          <w:b/>
          <w:kern w:val="0"/>
          <w:sz w:val="24"/>
          <w:szCs w:val="24"/>
        </w:rPr>
      </w:pPr>
      <w:r>
        <w:rPr>
          <w:rFonts w:hint="eastAsia" w:cs="宋体" w:asciiTheme="minorEastAsia" w:hAnsiTheme="minorEastAsia"/>
          <w:b/>
          <w:kern w:val="0"/>
          <w:sz w:val="24"/>
          <w:szCs w:val="24"/>
        </w:rPr>
        <w:t>第四章  工作制度</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第十七条  教学指导委员会根据学校教学工作的需要，在主任委员的主持下开展各项指导、审议工作。</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第十八条  教学指导委员会定期召开全体委员会议，专题研究学校教学工作和教学改革等方面的重要工作；对职责所规定的具体工作进行指导和审议，并根据需要不定期召开会议，处理有关事务。</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第十九条  教学指导委员会会议由主任或主任委托的副主任主持。委员会全体会议关于重大问题的决策，须有三分之二以上（含三分之二）委员参加，且须全体委员半数以上赞成方可通过。</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第二十条  教学指导委员会全体会议及相关活动的组织、记录由秘书处负责。</w:t>
      </w:r>
    </w:p>
    <w:p>
      <w:pPr>
        <w:widowControl/>
        <w:spacing w:line="360" w:lineRule="auto"/>
        <w:ind w:firstLine="629"/>
        <w:jc w:val="center"/>
        <w:rPr>
          <w:rFonts w:cs="宋体" w:asciiTheme="minorEastAsia" w:hAnsiTheme="minorEastAsia"/>
          <w:b/>
          <w:kern w:val="0"/>
          <w:sz w:val="24"/>
          <w:szCs w:val="24"/>
        </w:rPr>
      </w:pPr>
      <w:r>
        <w:rPr>
          <w:rFonts w:hint="eastAsia" w:cs="宋体" w:asciiTheme="minorEastAsia" w:hAnsiTheme="minorEastAsia"/>
          <w:b/>
          <w:kern w:val="0"/>
          <w:sz w:val="24"/>
          <w:szCs w:val="24"/>
        </w:rPr>
        <w:t>第五章  附  则</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第二十一条  学校设立专项经费，用于教学指导委员会的日常工作，由学校根据每年的预算拨款。</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第二十二条  教学指导委员会委员实行进退机制，根据实际情况可申请退出或增补。</w:t>
      </w:r>
    </w:p>
    <w:p>
      <w:pPr>
        <w:widowControl/>
        <w:spacing w:line="360" w:lineRule="auto"/>
        <w:ind w:firstLine="629"/>
        <w:jc w:val="left"/>
        <w:rPr>
          <w:rFonts w:cs="宋体" w:asciiTheme="minorEastAsia" w:hAnsiTheme="minorEastAsia"/>
          <w:kern w:val="0"/>
          <w:sz w:val="24"/>
          <w:szCs w:val="24"/>
        </w:rPr>
      </w:pPr>
      <w:r>
        <w:rPr>
          <w:rFonts w:hint="eastAsia" w:cs="宋体" w:asciiTheme="minorEastAsia" w:hAnsiTheme="minorEastAsia"/>
          <w:kern w:val="0"/>
          <w:sz w:val="24"/>
          <w:szCs w:val="24"/>
        </w:rPr>
        <w:t>第二十三条  本章程自公布之日起实行。</w:t>
      </w:r>
    </w:p>
    <w:p>
      <w:pPr>
        <w:widowControl/>
        <w:spacing w:line="360" w:lineRule="auto"/>
        <w:ind w:firstLine="629"/>
        <w:jc w:val="left"/>
        <w:rPr>
          <w:rFonts w:cs="宋体" w:asciiTheme="minorEastAsia" w:hAnsiTheme="minorEastAsia"/>
          <w:kern w:val="0"/>
          <w:sz w:val="24"/>
          <w:szCs w:val="24"/>
        </w:rPr>
      </w:pPr>
    </w:p>
    <w:p>
      <w:pPr>
        <w:widowControl/>
        <w:spacing w:line="360" w:lineRule="auto"/>
        <w:ind w:firstLine="629"/>
        <w:jc w:val="left"/>
        <w:rPr>
          <w:rFonts w:cs="宋体" w:asciiTheme="minorEastAsia" w:hAnsiTheme="minorEastAsia"/>
          <w:kern w:val="0"/>
          <w:sz w:val="24"/>
          <w:szCs w:val="24"/>
        </w:rPr>
      </w:pPr>
    </w:p>
    <w:p>
      <w:pPr>
        <w:widowControl/>
        <w:spacing w:line="360" w:lineRule="auto"/>
        <w:ind w:firstLine="629"/>
        <w:jc w:val="left"/>
        <w:rPr>
          <w:rFonts w:cs="宋体" w:asciiTheme="minorEastAsia" w:hAnsiTheme="minorEastAsia"/>
          <w:kern w:val="0"/>
          <w:sz w:val="24"/>
          <w:szCs w:val="24"/>
        </w:rPr>
      </w:pPr>
    </w:p>
    <w:p>
      <w:pPr>
        <w:widowControl/>
        <w:spacing w:line="360" w:lineRule="auto"/>
        <w:ind w:firstLine="629"/>
        <w:jc w:val="right"/>
        <w:rPr>
          <w:rFonts w:cs="宋体" w:asciiTheme="minorEastAsia" w:hAnsiTheme="minorEastAsia"/>
          <w:kern w:val="0"/>
          <w:sz w:val="24"/>
          <w:szCs w:val="24"/>
        </w:rPr>
      </w:pPr>
      <w:r>
        <w:rPr>
          <w:rFonts w:hint="eastAsia" w:cs="宋体" w:asciiTheme="minorEastAsia" w:hAnsiTheme="minorEastAsia"/>
          <w:kern w:val="0"/>
          <w:sz w:val="24"/>
          <w:szCs w:val="24"/>
        </w:rPr>
        <w:t>2017年3月13日</w:t>
      </w:r>
    </w:p>
    <w:p>
      <w:pPr>
        <w:spacing w:line="360" w:lineRule="auto"/>
        <w:ind w:left="3574" w:hanging="3573" w:hangingChars="1489"/>
        <w:rPr>
          <w:rFonts w:asciiTheme="minorEastAsia" w:hAnsiTheme="minorEastAsia"/>
          <w:sz w:val="24"/>
          <w:szCs w:val="24"/>
        </w:rPr>
      </w:pPr>
    </w:p>
    <w:p>
      <w:pPr>
        <w:spacing w:line="560" w:lineRule="exact"/>
        <w:jc w:val="center"/>
        <w:rPr>
          <w:rFonts w:ascii="宋体" w:hAnsi="宋体"/>
          <w:b/>
          <w:bCs/>
          <w:sz w:val="32"/>
          <w:szCs w:val="32"/>
        </w:rPr>
      </w:pPr>
      <w:r>
        <w:rPr>
          <w:rFonts w:hint="eastAsia" w:ascii="宋体" w:hAnsi="宋体"/>
          <w:b/>
          <w:bCs/>
          <w:sz w:val="32"/>
          <w:szCs w:val="32"/>
        </w:rPr>
        <w:t>内江师范学院学生教学信息员工作管理办法</w:t>
      </w:r>
    </w:p>
    <w:p>
      <w:pPr>
        <w:spacing w:line="560" w:lineRule="exact"/>
        <w:ind w:firstLine="3092" w:firstLineChars="1100"/>
        <w:rPr>
          <w:rFonts w:ascii="宋体" w:hAnsi="宋体"/>
          <w:b/>
          <w:sz w:val="28"/>
          <w:szCs w:val="28"/>
        </w:rPr>
      </w:pPr>
      <w:r>
        <w:rPr>
          <w:rFonts w:hint="eastAsia" w:ascii="宋体" w:hAnsi="宋体"/>
          <w:b/>
          <w:sz w:val="28"/>
          <w:szCs w:val="28"/>
        </w:rPr>
        <w:t>内师教发</w:t>
      </w:r>
      <w:r>
        <w:rPr>
          <w:rFonts w:hint="eastAsia" w:ascii="宋体" w:hAnsi="宋体" w:cs="宋体"/>
          <w:b/>
          <w:kern w:val="0"/>
          <w:sz w:val="28"/>
          <w:szCs w:val="28"/>
        </w:rPr>
        <w:t>〔20</w:t>
      </w:r>
      <w:r>
        <w:rPr>
          <w:rFonts w:ascii="宋体" w:hAnsi="宋体" w:cs="宋体"/>
          <w:b/>
          <w:kern w:val="0"/>
          <w:sz w:val="28"/>
          <w:szCs w:val="28"/>
        </w:rPr>
        <w:t>06</w:t>
      </w:r>
      <w:r>
        <w:rPr>
          <w:rFonts w:hint="eastAsia" w:ascii="宋体" w:hAnsi="宋体" w:cs="宋体"/>
          <w:b/>
          <w:kern w:val="0"/>
          <w:sz w:val="28"/>
          <w:szCs w:val="28"/>
        </w:rPr>
        <w:t>〕</w:t>
      </w:r>
      <w:r>
        <w:rPr>
          <w:rFonts w:hint="eastAsia" w:ascii="宋体" w:hAnsi="宋体"/>
          <w:b/>
          <w:sz w:val="28"/>
          <w:szCs w:val="28"/>
        </w:rPr>
        <w:t>275号</w:t>
      </w:r>
    </w:p>
    <w:p>
      <w:pPr>
        <w:spacing w:line="560" w:lineRule="exact"/>
        <w:jc w:val="center"/>
        <w:rPr>
          <w:b/>
          <w:bCs/>
          <w:sz w:val="28"/>
          <w:szCs w:val="28"/>
        </w:rPr>
      </w:pPr>
    </w:p>
    <w:p>
      <w:pPr>
        <w:pStyle w:val="10"/>
        <w:spacing w:before="0" w:beforeAutospacing="0" w:after="0" w:afterAutospacing="0" w:line="360" w:lineRule="auto"/>
        <w:ind w:firstLine="480" w:firstLineChars="200"/>
        <w:rPr>
          <w:color w:val="333333"/>
          <w:szCs w:val="21"/>
        </w:rPr>
      </w:pPr>
      <w:r>
        <w:rPr>
          <w:color w:val="333333"/>
          <w:szCs w:val="21"/>
        </w:rPr>
        <w:t>学生教学信息员</w:t>
      </w:r>
      <w:r>
        <w:rPr>
          <w:rFonts w:hint="eastAsia"/>
          <w:color w:val="333333"/>
          <w:szCs w:val="21"/>
        </w:rPr>
        <w:t>工作</w:t>
      </w:r>
      <w:r>
        <w:rPr>
          <w:color w:val="333333"/>
          <w:szCs w:val="21"/>
        </w:rPr>
        <w:t>制度是学</w:t>
      </w:r>
      <w:r>
        <w:rPr>
          <w:rFonts w:hint="eastAsia"/>
          <w:color w:val="333333"/>
          <w:szCs w:val="21"/>
        </w:rPr>
        <w:t>院</w:t>
      </w:r>
      <w:r>
        <w:rPr>
          <w:color w:val="333333"/>
          <w:szCs w:val="21"/>
        </w:rPr>
        <w:t>为及时、准确、全面地掌握教学动态，充分发挥学生在教学及管理活动中的主体作用而制定的，是学</w:t>
      </w:r>
      <w:r>
        <w:rPr>
          <w:rFonts w:hint="eastAsia"/>
          <w:color w:val="333333"/>
          <w:szCs w:val="21"/>
        </w:rPr>
        <w:t>院</w:t>
      </w:r>
      <w:r>
        <w:rPr>
          <w:color w:val="333333"/>
          <w:szCs w:val="21"/>
        </w:rPr>
        <w:t>建立教学信息反馈系统</w:t>
      </w:r>
      <w:r>
        <w:rPr>
          <w:rFonts w:hint="eastAsia"/>
          <w:color w:val="333333"/>
          <w:szCs w:val="21"/>
        </w:rPr>
        <w:t>，</w:t>
      </w:r>
      <w:r>
        <w:rPr>
          <w:color w:val="333333"/>
          <w:szCs w:val="21"/>
        </w:rPr>
        <w:t>加强对教学活动的监控与管理的重要举措。为使</w:t>
      </w:r>
      <w:r>
        <w:rPr>
          <w:rFonts w:hint="eastAsia"/>
          <w:color w:val="333333"/>
          <w:szCs w:val="21"/>
        </w:rPr>
        <w:t>我院</w:t>
      </w:r>
      <w:r>
        <w:rPr>
          <w:color w:val="333333"/>
          <w:szCs w:val="21"/>
        </w:rPr>
        <w:t>学生教学信息员</w:t>
      </w:r>
      <w:r>
        <w:rPr>
          <w:rFonts w:hint="eastAsia"/>
          <w:color w:val="333333"/>
          <w:szCs w:val="21"/>
        </w:rPr>
        <w:t>工作制度化、</w:t>
      </w:r>
      <w:r>
        <w:rPr>
          <w:color w:val="333333"/>
          <w:szCs w:val="21"/>
        </w:rPr>
        <w:t>规范化、科学化，特制定本</w:t>
      </w:r>
      <w:r>
        <w:rPr>
          <w:rFonts w:hint="eastAsia"/>
          <w:color w:val="333333"/>
          <w:szCs w:val="21"/>
        </w:rPr>
        <w:t>管理办法。</w:t>
      </w:r>
    </w:p>
    <w:p>
      <w:pPr>
        <w:pStyle w:val="10"/>
        <w:spacing w:before="0" w:beforeAutospacing="0" w:after="0" w:afterAutospacing="0" w:line="360" w:lineRule="auto"/>
        <w:ind w:left="483" w:leftChars="230"/>
        <w:rPr>
          <w:color w:val="333333"/>
          <w:szCs w:val="21"/>
        </w:rPr>
      </w:pPr>
      <w:r>
        <w:rPr>
          <w:rFonts w:hint="eastAsia"/>
          <w:b/>
          <w:color w:val="333333"/>
          <w:szCs w:val="21"/>
        </w:rPr>
        <w:t>一、</w:t>
      </w:r>
      <w:r>
        <w:rPr>
          <w:b/>
          <w:color w:val="333333"/>
          <w:szCs w:val="21"/>
        </w:rPr>
        <w:t>学生教学信息员的任职条件</w:t>
      </w:r>
      <w:r>
        <w:rPr>
          <w:b/>
          <w:color w:val="333333"/>
          <w:szCs w:val="21"/>
        </w:rPr>
        <w:br w:type="textWrapping"/>
      </w:r>
      <w:r>
        <w:rPr>
          <w:color w:val="333333"/>
          <w:szCs w:val="21"/>
        </w:rPr>
        <w:t>1、全日制</w:t>
      </w:r>
      <w:r>
        <w:rPr>
          <w:rFonts w:hint="eastAsia"/>
          <w:color w:val="333333"/>
          <w:szCs w:val="21"/>
        </w:rPr>
        <w:t>本、专科</w:t>
      </w:r>
      <w:r>
        <w:rPr>
          <w:color w:val="333333"/>
          <w:szCs w:val="21"/>
        </w:rPr>
        <w:t>学生。</w:t>
      </w:r>
    </w:p>
    <w:p>
      <w:pPr>
        <w:pStyle w:val="10"/>
        <w:spacing w:before="0" w:beforeAutospacing="0" w:after="0" w:afterAutospacing="0" w:line="360" w:lineRule="auto"/>
        <w:rPr>
          <w:color w:val="333333"/>
          <w:szCs w:val="21"/>
        </w:rPr>
      </w:pPr>
      <w:r>
        <w:rPr>
          <w:color w:val="333333"/>
          <w:szCs w:val="21"/>
        </w:rPr>
        <w:t xml:space="preserve"> </w:t>
      </w:r>
      <w:r>
        <w:rPr>
          <w:rFonts w:hint="eastAsia"/>
          <w:color w:val="333333"/>
          <w:szCs w:val="21"/>
        </w:rPr>
        <w:t xml:space="preserve">   </w:t>
      </w:r>
      <w:r>
        <w:rPr>
          <w:color w:val="333333"/>
          <w:szCs w:val="21"/>
        </w:rPr>
        <w:t>2、学习自觉</w:t>
      </w:r>
      <w:r>
        <w:rPr>
          <w:rFonts w:hint="eastAsia"/>
          <w:color w:val="333333"/>
          <w:szCs w:val="21"/>
        </w:rPr>
        <w:t>、</w:t>
      </w:r>
      <w:r>
        <w:rPr>
          <w:color w:val="333333"/>
          <w:szCs w:val="21"/>
        </w:rPr>
        <w:t>主动，成绩优良。</w:t>
      </w:r>
    </w:p>
    <w:p>
      <w:pPr>
        <w:pStyle w:val="10"/>
        <w:spacing w:before="0" w:beforeAutospacing="0" w:after="0" w:afterAutospacing="0" w:line="360" w:lineRule="auto"/>
        <w:rPr>
          <w:color w:val="333333"/>
          <w:szCs w:val="21"/>
        </w:rPr>
      </w:pPr>
      <w:r>
        <w:rPr>
          <w:color w:val="333333"/>
          <w:szCs w:val="21"/>
        </w:rPr>
        <w:t xml:space="preserve"> </w:t>
      </w:r>
      <w:r>
        <w:rPr>
          <w:rFonts w:hint="eastAsia"/>
          <w:color w:val="333333"/>
          <w:szCs w:val="21"/>
        </w:rPr>
        <w:t xml:space="preserve">   </w:t>
      </w:r>
      <w:r>
        <w:rPr>
          <w:color w:val="333333"/>
          <w:szCs w:val="21"/>
        </w:rPr>
        <w:t>3、有较高的思想觉悟，</w:t>
      </w:r>
      <w:r>
        <w:rPr>
          <w:rFonts w:hint="eastAsia"/>
          <w:color w:val="333333"/>
          <w:szCs w:val="21"/>
        </w:rPr>
        <w:t>思想政治素质好，</w:t>
      </w:r>
      <w:r>
        <w:rPr>
          <w:color w:val="333333"/>
          <w:szCs w:val="21"/>
        </w:rPr>
        <w:t>能客观公正地反映</w:t>
      </w:r>
      <w:r>
        <w:rPr>
          <w:rFonts w:hint="eastAsia"/>
          <w:color w:val="333333"/>
          <w:szCs w:val="21"/>
        </w:rPr>
        <w:t>学院</w:t>
      </w:r>
      <w:r>
        <w:rPr>
          <w:color w:val="333333"/>
          <w:szCs w:val="21"/>
        </w:rPr>
        <w:t>教学和教学管理中存在的问题，敢</w:t>
      </w:r>
      <w:r>
        <w:rPr>
          <w:rFonts w:hint="eastAsia"/>
          <w:color w:val="333333"/>
          <w:szCs w:val="21"/>
        </w:rPr>
        <w:t>讲</w:t>
      </w:r>
      <w:r>
        <w:rPr>
          <w:color w:val="333333"/>
          <w:szCs w:val="21"/>
        </w:rPr>
        <w:t>真话。</w:t>
      </w:r>
    </w:p>
    <w:p>
      <w:pPr>
        <w:pStyle w:val="10"/>
        <w:spacing w:before="0" w:beforeAutospacing="0" w:after="0" w:afterAutospacing="0" w:line="360" w:lineRule="auto"/>
        <w:rPr>
          <w:color w:val="333333"/>
          <w:szCs w:val="21"/>
        </w:rPr>
      </w:pPr>
      <w:r>
        <w:rPr>
          <w:color w:val="333333"/>
          <w:szCs w:val="21"/>
        </w:rPr>
        <w:t xml:space="preserve"> </w:t>
      </w:r>
      <w:r>
        <w:rPr>
          <w:rFonts w:hint="eastAsia"/>
          <w:color w:val="333333"/>
          <w:szCs w:val="21"/>
        </w:rPr>
        <w:t xml:space="preserve">   </w:t>
      </w:r>
      <w:r>
        <w:rPr>
          <w:color w:val="333333"/>
          <w:szCs w:val="21"/>
        </w:rPr>
        <w:t>4、有主人翁精神</w:t>
      </w:r>
      <w:r>
        <w:rPr>
          <w:rFonts w:hint="eastAsia"/>
          <w:color w:val="333333"/>
          <w:szCs w:val="21"/>
        </w:rPr>
        <w:t>、奉献精神</w:t>
      </w:r>
      <w:r>
        <w:rPr>
          <w:color w:val="333333"/>
          <w:szCs w:val="21"/>
        </w:rPr>
        <w:t>和</w:t>
      </w:r>
      <w:r>
        <w:rPr>
          <w:rFonts w:hint="eastAsia"/>
          <w:color w:val="333333"/>
          <w:szCs w:val="21"/>
        </w:rPr>
        <w:t>事业心、</w:t>
      </w:r>
      <w:r>
        <w:rPr>
          <w:color w:val="333333"/>
          <w:szCs w:val="21"/>
        </w:rPr>
        <w:t>责任感，热心学校教学管理和教学改革</w:t>
      </w:r>
      <w:r>
        <w:rPr>
          <w:rFonts w:hint="eastAsia"/>
          <w:color w:val="333333"/>
          <w:szCs w:val="21"/>
        </w:rPr>
        <w:t>，</w:t>
      </w:r>
      <w:r>
        <w:rPr>
          <w:color w:val="333333"/>
          <w:szCs w:val="21"/>
        </w:rPr>
        <w:t>关心学校事业发展。</w:t>
      </w:r>
    </w:p>
    <w:p>
      <w:pPr>
        <w:pStyle w:val="10"/>
        <w:spacing w:before="0" w:beforeAutospacing="0" w:after="0" w:afterAutospacing="0" w:line="360" w:lineRule="auto"/>
        <w:rPr>
          <w:color w:val="333333"/>
          <w:szCs w:val="21"/>
        </w:rPr>
      </w:pPr>
      <w:r>
        <w:rPr>
          <w:color w:val="333333"/>
          <w:szCs w:val="21"/>
        </w:rPr>
        <w:t xml:space="preserve"> </w:t>
      </w:r>
      <w:r>
        <w:rPr>
          <w:rFonts w:hint="eastAsia"/>
          <w:color w:val="333333"/>
          <w:szCs w:val="21"/>
        </w:rPr>
        <w:t xml:space="preserve">   </w:t>
      </w:r>
      <w:r>
        <w:rPr>
          <w:color w:val="333333"/>
          <w:szCs w:val="21"/>
        </w:rPr>
        <w:t>5、</w:t>
      </w:r>
      <w:r>
        <w:rPr>
          <w:rFonts w:hint="eastAsia"/>
          <w:color w:val="333333"/>
          <w:szCs w:val="21"/>
        </w:rPr>
        <w:t>有一定的观察能力和写作水平，</w:t>
      </w:r>
      <w:r>
        <w:rPr>
          <w:color w:val="333333"/>
          <w:szCs w:val="21"/>
        </w:rPr>
        <w:t>善于发现问题并积极提出改进</w:t>
      </w:r>
      <w:r>
        <w:rPr>
          <w:rFonts w:hint="eastAsia"/>
          <w:color w:val="333333"/>
          <w:szCs w:val="21"/>
        </w:rPr>
        <w:t>意见和</w:t>
      </w:r>
      <w:r>
        <w:rPr>
          <w:color w:val="333333"/>
          <w:szCs w:val="21"/>
        </w:rPr>
        <w:t>建议。</w:t>
      </w:r>
    </w:p>
    <w:p>
      <w:pPr>
        <w:pStyle w:val="10"/>
        <w:spacing w:before="0" w:beforeAutospacing="0" w:after="0" w:afterAutospacing="0" w:line="360" w:lineRule="auto"/>
        <w:ind w:firstLine="482" w:firstLineChars="200"/>
        <w:rPr>
          <w:b/>
          <w:bCs/>
          <w:color w:val="333333"/>
          <w:szCs w:val="21"/>
        </w:rPr>
      </w:pPr>
      <w:r>
        <w:rPr>
          <w:rFonts w:hint="eastAsia"/>
          <w:b/>
          <w:color w:val="333333"/>
          <w:szCs w:val="21"/>
        </w:rPr>
        <w:t>二、学生教学信息员工作的</w:t>
      </w:r>
      <w:r>
        <w:rPr>
          <w:b/>
          <w:bCs/>
          <w:color w:val="333333"/>
          <w:szCs w:val="21"/>
        </w:rPr>
        <w:t>组织</w:t>
      </w:r>
      <w:r>
        <w:rPr>
          <w:rFonts w:hint="eastAsia"/>
          <w:b/>
          <w:bCs/>
          <w:color w:val="333333"/>
          <w:szCs w:val="21"/>
        </w:rPr>
        <w:t>与</w:t>
      </w:r>
      <w:r>
        <w:rPr>
          <w:b/>
          <w:bCs/>
          <w:color w:val="333333"/>
          <w:szCs w:val="21"/>
        </w:rPr>
        <w:t>管理</w:t>
      </w:r>
    </w:p>
    <w:p>
      <w:pPr>
        <w:pStyle w:val="10"/>
        <w:spacing w:before="0" w:beforeAutospacing="0" w:after="0" w:afterAutospacing="0" w:line="360" w:lineRule="auto"/>
        <w:ind w:firstLine="480" w:firstLineChars="200"/>
        <w:rPr>
          <w:color w:val="333333"/>
          <w:szCs w:val="21"/>
        </w:rPr>
      </w:pPr>
      <w:r>
        <w:rPr>
          <w:rFonts w:hint="eastAsia"/>
          <w:color w:val="333333"/>
          <w:szCs w:val="21"/>
        </w:rPr>
        <w:t>1、学生教学信息员工作分学院和教学系两级开展。</w:t>
      </w:r>
    </w:p>
    <w:p>
      <w:pPr>
        <w:pStyle w:val="10"/>
        <w:spacing w:before="0" w:beforeAutospacing="0" w:after="0" w:afterAutospacing="0" w:line="360" w:lineRule="auto"/>
        <w:ind w:firstLine="480" w:firstLineChars="200"/>
        <w:rPr>
          <w:color w:val="333333"/>
          <w:szCs w:val="21"/>
        </w:rPr>
      </w:pPr>
      <w:r>
        <w:rPr>
          <w:rFonts w:hint="eastAsia"/>
          <w:color w:val="333333"/>
          <w:szCs w:val="21"/>
        </w:rPr>
        <w:t>2、</w:t>
      </w:r>
      <w:r>
        <w:rPr>
          <w:color w:val="333333"/>
          <w:szCs w:val="21"/>
        </w:rPr>
        <w:t>各</w:t>
      </w:r>
      <w:r>
        <w:rPr>
          <w:rFonts w:hint="eastAsia"/>
          <w:color w:val="333333"/>
          <w:szCs w:val="21"/>
        </w:rPr>
        <w:t>系各</w:t>
      </w:r>
      <w:r>
        <w:rPr>
          <w:color w:val="333333"/>
          <w:szCs w:val="21"/>
        </w:rPr>
        <w:t>班设学生教学信息员1名，通过个人自荐或组织推荐后报教务处审批产生</w:t>
      </w:r>
      <w:r>
        <w:rPr>
          <w:rFonts w:hint="eastAsia"/>
          <w:color w:val="333333"/>
          <w:szCs w:val="21"/>
        </w:rPr>
        <w:t>。</w:t>
      </w:r>
    </w:p>
    <w:p>
      <w:pPr>
        <w:pStyle w:val="10"/>
        <w:spacing w:before="0" w:beforeAutospacing="0" w:after="0" w:afterAutospacing="0" w:line="360" w:lineRule="auto"/>
        <w:ind w:firstLine="480" w:firstLineChars="200"/>
        <w:rPr>
          <w:color w:val="333333"/>
          <w:szCs w:val="21"/>
        </w:rPr>
      </w:pPr>
      <w:r>
        <w:rPr>
          <w:rFonts w:hint="eastAsia"/>
          <w:color w:val="333333"/>
          <w:szCs w:val="21"/>
        </w:rPr>
        <w:t>3、</w:t>
      </w:r>
      <w:r>
        <w:rPr>
          <w:color w:val="333333"/>
          <w:szCs w:val="21"/>
        </w:rPr>
        <w:t>各</w:t>
      </w:r>
      <w:r>
        <w:rPr>
          <w:rFonts w:hint="eastAsia"/>
          <w:color w:val="333333"/>
          <w:szCs w:val="21"/>
        </w:rPr>
        <w:t>系</w:t>
      </w:r>
      <w:r>
        <w:rPr>
          <w:color w:val="333333"/>
          <w:szCs w:val="21"/>
        </w:rPr>
        <w:t>设立教学信息小组，并设组长1名</w:t>
      </w:r>
      <w:r>
        <w:rPr>
          <w:rFonts w:hint="eastAsia"/>
          <w:color w:val="333333"/>
          <w:szCs w:val="21"/>
        </w:rPr>
        <w:t>、副组长1~2名，</w:t>
      </w:r>
      <w:r>
        <w:rPr>
          <w:color w:val="333333"/>
          <w:szCs w:val="21"/>
        </w:rPr>
        <w:t>成员由各班教学信息员组成</w:t>
      </w:r>
      <w:r>
        <w:rPr>
          <w:rFonts w:hint="eastAsia"/>
          <w:color w:val="333333"/>
          <w:szCs w:val="21"/>
        </w:rPr>
        <w:t>。系学生教学信息员工作由系确定专人管理，负责系教学信息小组反馈的信息的处理，凡属职责范围内的工作，应立即办理，需有关职能部门处理的应及时通知有关部门处理。</w:t>
      </w:r>
    </w:p>
    <w:p>
      <w:pPr>
        <w:pStyle w:val="10"/>
        <w:spacing w:before="0" w:beforeAutospacing="0" w:after="0" w:afterAutospacing="0" w:line="360" w:lineRule="auto"/>
        <w:rPr>
          <w:color w:val="333333"/>
          <w:szCs w:val="21"/>
        </w:rPr>
      </w:pPr>
      <w:r>
        <w:rPr>
          <w:rFonts w:hint="eastAsia"/>
          <w:color w:val="333333"/>
          <w:szCs w:val="21"/>
        </w:rPr>
        <w:t xml:space="preserve">    4、</w:t>
      </w:r>
      <w:r>
        <w:rPr>
          <w:color w:val="333333"/>
          <w:szCs w:val="21"/>
        </w:rPr>
        <w:t>学</w:t>
      </w:r>
      <w:r>
        <w:rPr>
          <w:rFonts w:hint="eastAsia"/>
          <w:color w:val="333333"/>
          <w:szCs w:val="21"/>
        </w:rPr>
        <w:t>院</w:t>
      </w:r>
      <w:r>
        <w:rPr>
          <w:color w:val="333333"/>
          <w:szCs w:val="21"/>
        </w:rPr>
        <w:t>设立教学信</w:t>
      </w:r>
      <w:r>
        <w:rPr>
          <w:rFonts w:hint="eastAsia"/>
          <w:color w:val="333333"/>
          <w:szCs w:val="21"/>
        </w:rPr>
        <w:t>息中心</w:t>
      </w:r>
      <w:r>
        <w:rPr>
          <w:color w:val="333333"/>
          <w:szCs w:val="21"/>
        </w:rPr>
        <w:t>，设</w:t>
      </w:r>
      <w:r>
        <w:rPr>
          <w:rFonts w:hint="eastAsia"/>
          <w:color w:val="333333"/>
          <w:szCs w:val="21"/>
        </w:rPr>
        <w:t>主任</w:t>
      </w:r>
      <w:r>
        <w:rPr>
          <w:color w:val="333333"/>
          <w:szCs w:val="21"/>
        </w:rPr>
        <w:t>1名，副</w:t>
      </w:r>
      <w:r>
        <w:rPr>
          <w:rFonts w:hint="eastAsia"/>
          <w:color w:val="333333"/>
          <w:szCs w:val="21"/>
        </w:rPr>
        <w:t>主任2~3</w:t>
      </w:r>
      <w:r>
        <w:rPr>
          <w:color w:val="333333"/>
          <w:szCs w:val="21"/>
        </w:rPr>
        <w:t>名。教学信</w:t>
      </w:r>
      <w:r>
        <w:rPr>
          <w:rFonts w:hint="eastAsia"/>
          <w:color w:val="333333"/>
          <w:szCs w:val="21"/>
        </w:rPr>
        <w:t>息中心主任、副主任和成员由</w:t>
      </w:r>
      <w:r>
        <w:rPr>
          <w:color w:val="333333"/>
          <w:szCs w:val="21"/>
        </w:rPr>
        <w:t>各</w:t>
      </w:r>
      <w:r>
        <w:rPr>
          <w:rFonts w:hint="eastAsia"/>
          <w:color w:val="333333"/>
          <w:szCs w:val="21"/>
        </w:rPr>
        <w:t>系</w:t>
      </w:r>
      <w:r>
        <w:rPr>
          <w:color w:val="333333"/>
          <w:szCs w:val="21"/>
        </w:rPr>
        <w:t>学生教学信息小组组长</w:t>
      </w:r>
      <w:r>
        <w:rPr>
          <w:rFonts w:hint="eastAsia"/>
          <w:color w:val="333333"/>
          <w:szCs w:val="21"/>
        </w:rPr>
        <w:t>、副组长担任。学院学生教学信息员工作由教务处负责，</w:t>
      </w:r>
      <w:r>
        <w:rPr>
          <w:color w:val="333333"/>
          <w:szCs w:val="21"/>
        </w:rPr>
        <w:t>各</w:t>
      </w:r>
      <w:r>
        <w:rPr>
          <w:rFonts w:hint="eastAsia"/>
          <w:color w:val="333333"/>
          <w:szCs w:val="21"/>
        </w:rPr>
        <w:t>系</w:t>
      </w:r>
      <w:r>
        <w:rPr>
          <w:color w:val="333333"/>
          <w:szCs w:val="21"/>
        </w:rPr>
        <w:t>主管教学副</w:t>
      </w:r>
      <w:r>
        <w:rPr>
          <w:rFonts w:hint="eastAsia"/>
          <w:color w:val="333333"/>
          <w:szCs w:val="21"/>
        </w:rPr>
        <w:t>主任</w:t>
      </w:r>
      <w:r>
        <w:rPr>
          <w:color w:val="333333"/>
          <w:szCs w:val="21"/>
        </w:rPr>
        <w:t>和</w:t>
      </w:r>
      <w:r>
        <w:rPr>
          <w:rFonts w:hint="eastAsia"/>
          <w:color w:val="333333"/>
          <w:szCs w:val="21"/>
        </w:rPr>
        <w:t>教学秘书</w:t>
      </w:r>
      <w:r>
        <w:rPr>
          <w:color w:val="333333"/>
          <w:szCs w:val="21"/>
        </w:rPr>
        <w:t>协助组织，</w:t>
      </w:r>
      <w:r>
        <w:rPr>
          <w:rFonts w:hint="eastAsia"/>
          <w:color w:val="333333"/>
          <w:szCs w:val="21"/>
        </w:rPr>
        <w:t>院</w:t>
      </w:r>
      <w:r>
        <w:rPr>
          <w:color w:val="333333"/>
          <w:szCs w:val="21"/>
        </w:rPr>
        <w:t>学生教学信息</w:t>
      </w:r>
      <w:r>
        <w:rPr>
          <w:rFonts w:hint="eastAsia"/>
          <w:color w:val="333333"/>
          <w:szCs w:val="21"/>
        </w:rPr>
        <w:t>中心</w:t>
      </w:r>
      <w:r>
        <w:rPr>
          <w:color w:val="333333"/>
          <w:szCs w:val="21"/>
        </w:rPr>
        <w:t>负责处理日常事务。</w:t>
      </w:r>
    </w:p>
    <w:p>
      <w:pPr>
        <w:pStyle w:val="10"/>
        <w:spacing w:before="0" w:beforeAutospacing="0" w:after="0" w:afterAutospacing="0" w:line="360" w:lineRule="auto"/>
        <w:ind w:firstLine="480" w:firstLineChars="200"/>
        <w:rPr>
          <w:color w:val="333333"/>
          <w:szCs w:val="21"/>
        </w:rPr>
      </w:pPr>
      <w:r>
        <w:rPr>
          <w:rFonts w:hint="eastAsia"/>
          <w:color w:val="333333"/>
          <w:szCs w:val="21"/>
        </w:rPr>
        <w:t>5、</w:t>
      </w:r>
      <w:r>
        <w:rPr>
          <w:bCs/>
          <w:color w:val="333333"/>
          <w:szCs w:val="21"/>
        </w:rPr>
        <w:t>学</w:t>
      </w:r>
      <w:r>
        <w:rPr>
          <w:color w:val="333333"/>
          <w:szCs w:val="21"/>
        </w:rPr>
        <w:t>生教学信息员工作列入学生班委会日常工作，</w:t>
      </w:r>
      <w:r>
        <w:rPr>
          <w:rFonts w:hint="eastAsia"/>
          <w:color w:val="333333"/>
          <w:szCs w:val="21"/>
        </w:rPr>
        <w:t>与班委会工作同时开展。</w:t>
      </w:r>
    </w:p>
    <w:p>
      <w:pPr>
        <w:pStyle w:val="10"/>
        <w:spacing w:before="0" w:beforeAutospacing="0" w:after="0" w:afterAutospacing="0" w:line="360" w:lineRule="auto"/>
        <w:ind w:firstLine="480" w:firstLineChars="200"/>
        <w:rPr>
          <w:b/>
          <w:color w:val="333333"/>
          <w:szCs w:val="21"/>
        </w:rPr>
      </w:pPr>
      <w:r>
        <w:rPr>
          <w:rFonts w:hint="eastAsia"/>
          <w:color w:val="333333"/>
          <w:szCs w:val="21"/>
        </w:rPr>
        <w:t>6、</w:t>
      </w:r>
      <w:r>
        <w:rPr>
          <w:color w:val="333333"/>
          <w:szCs w:val="21"/>
        </w:rPr>
        <w:t>学生教学信息员任期1</w:t>
      </w:r>
      <w:r>
        <w:rPr>
          <w:rFonts w:hint="eastAsia"/>
          <w:color w:val="333333"/>
          <w:szCs w:val="21"/>
        </w:rPr>
        <w:t>~2</w:t>
      </w:r>
      <w:r>
        <w:rPr>
          <w:color w:val="333333"/>
          <w:szCs w:val="21"/>
        </w:rPr>
        <w:t>年。根据学生教学信息员工作表现</w:t>
      </w:r>
      <w:r>
        <w:rPr>
          <w:rFonts w:hint="eastAsia"/>
          <w:color w:val="333333"/>
          <w:szCs w:val="21"/>
        </w:rPr>
        <w:t>，系</w:t>
      </w:r>
      <w:r>
        <w:rPr>
          <w:color w:val="333333"/>
          <w:szCs w:val="21"/>
        </w:rPr>
        <w:t>有权提出更换意见，教务处</w:t>
      </w:r>
      <w:r>
        <w:rPr>
          <w:rFonts w:hint="eastAsia"/>
          <w:color w:val="333333"/>
          <w:szCs w:val="21"/>
        </w:rPr>
        <w:t>有权作出更换处理。</w:t>
      </w:r>
      <w:r>
        <w:rPr>
          <w:color w:val="333333"/>
          <w:szCs w:val="21"/>
        </w:rPr>
        <w:t>学生教学信息员如中途退出须事先向教务处提出申请。</w:t>
      </w:r>
    </w:p>
    <w:p>
      <w:pPr>
        <w:pStyle w:val="10"/>
        <w:spacing w:before="0" w:beforeAutospacing="0" w:after="0" w:afterAutospacing="0" w:line="360" w:lineRule="auto"/>
        <w:ind w:firstLine="482" w:firstLineChars="200"/>
        <w:rPr>
          <w:b/>
          <w:color w:val="333333"/>
          <w:szCs w:val="21"/>
        </w:rPr>
      </w:pPr>
      <w:r>
        <w:rPr>
          <w:rFonts w:hint="eastAsia"/>
          <w:b/>
          <w:color w:val="333333"/>
          <w:szCs w:val="21"/>
        </w:rPr>
        <w:t>三、</w:t>
      </w:r>
      <w:r>
        <w:rPr>
          <w:b/>
          <w:color w:val="333333"/>
          <w:szCs w:val="21"/>
        </w:rPr>
        <w:t>学生教学信息员工作</w:t>
      </w:r>
      <w:r>
        <w:rPr>
          <w:rFonts w:hint="eastAsia"/>
          <w:b/>
          <w:color w:val="333333"/>
          <w:szCs w:val="21"/>
        </w:rPr>
        <w:t>内容与</w:t>
      </w:r>
      <w:r>
        <w:rPr>
          <w:b/>
          <w:color w:val="333333"/>
          <w:szCs w:val="21"/>
        </w:rPr>
        <w:t>职责</w:t>
      </w:r>
    </w:p>
    <w:p>
      <w:pPr>
        <w:pStyle w:val="10"/>
        <w:spacing w:before="0" w:beforeAutospacing="0" w:after="0" w:afterAutospacing="0" w:line="360" w:lineRule="auto"/>
        <w:ind w:firstLine="480" w:firstLineChars="200"/>
        <w:rPr>
          <w:color w:val="333333"/>
          <w:szCs w:val="21"/>
        </w:rPr>
      </w:pPr>
      <w:r>
        <w:rPr>
          <w:color w:val="333333"/>
          <w:szCs w:val="21"/>
        </w:rPr>
        <w:t>学生教学信息员应</w:t>
      </w:r>
      <w:r>
        <w:rPr>
          <w:rFonts w:hint="eastAsia"/>
          <w:color w:val="333333"/>
          <w:szCs w:val="21"/>
        </w:rPr>
        <w:t>按照学院教务处和教学系要求，经常了解并</w:t>
      </w:r>
      <w:r>
        <w:rPr>
          <w:color w:val="333333"/>
          <w:szCs w:val="21"/>
        </w:rPr>
        <w:t>及时反馈各</w:t>
      </w:r>
      <w:r>
        <w:rPr>
          <w:rFonts w:hint="eastAsia"/>
          <w:color w:val="333333"/>
          <w:szCs w:val="21"/>
        </w:rPr>
        <w:t>系</w:t>
      </w:r>
      <w:r>
        <w:rPr>
          <w:color w:val="333333"/>
          <w:szCs w:val="21"/>
        </w:rPr>
        <w:t>、</w:t>
      </w:r>
      <w:r>
        <w:rPr>
          <w:rFonts w:hint="eastAsia"/>
          <w:color w:val="333333"/>
          <w:szCs w:val="21"/>
        </w:rPr>
        <w:t>各</w:t>
      </w:r>
      <w:r>
        <w:rPr>
          <w:color w:val="333333"/>
          <w:szCs w:val="21"/>
        </w:rPr>
        <w:t>专业教学</w:t>
      </w:r>
      <w:r>
        <w:rPr>
          <w:rFonts w:hint="eastAsia"/>
          <w:color w:val="333333"/>
          <w:szCs w:val="21"/>
        </w:rPr>
        <w:t>、教学管理、教学条件等方面存在</w:t>
      </w:r>
      <w:r>
        <w:rPr>
          <w:color w:val="333333"/>
          <w:szCs w:val="21"/>
        </w:rPr>
        <w:t>的</w:t>
      </w:r>
      <w:r>
        <w:rPr>
          <w:rFonts w:hint="eastAsia"/>
          <w:color w:val="333333"/>
          <w:szCs w:val="21"/>
        </w:rPr>
        <w:t xml:space="preserve">问题，并提出解决问题的意见、建议。         </w:t>
      </w:r>
    </w:p>
    <w:p>
      <w:pPr>
        <w:pStyle w:val="10"/>
        <w:spacing w:before="0" w:beforeAutospacing="0" w:after="0" w:afterAutospacing="0" w:line="360" w:lineRule="auto"/>
        <w:ind w:firstLine="480" w:firstLineChars="200"/>
        <w:rPr>
          <w:color w:val="333333"/>
          <w:szCs w:val="21"/>
        </w:rPr>
      </w:pPr>
      <w:r>
        <w:rPr>
          <w:rFonts w:hint="eastAsia"/>
          <w:color w:val="333333"/>
          <w:szCs w:val="21"/>
        </w:rPr>
        <w:t>1、</w:t>
      </w:r>
      <w:r>
        <w:rPr>
          <w:color w:val="333333"/>
          <w:szCs w:val="21"/>
        </w:rPr>
        <w:t>课堂教学方面，</w:t>
      </w:r>
      <w:r>
        <w:rPr>
          <w:rFonts w:hint="eastAsia"/>
          <w:color w:val="333333"/>
          <w:szCs w:val="21"/>
        </w:rPr>
        <w:t>反映学生对</w:t>
      </w:r>
      <w:r>
        <w:rPr>
          <w:color w:val="333333"/>
          <w:szCs w:val="21"/>
        </w:rPr>
        <w:t>任课教师</w:t>
      </w:r>
      <w:r>
        <w:rPr>
          <w:rFonts w:hint="eastAsia"/>
          <w:color w:val="333333"/>
          <w:szCs w:val="21"/>
        </w:rPr>
        <w:t>教学态度、教学组织、教学水平、</w:t>
      </w:r>
      <w:r>
        <w:rPr>
          <w:color w:val="333333"/>
          <w:szCs w:val="21"/>
        </w:rPr>
        <w:t>教学效果</w:t>
      </w:r>
      <w:r>
        <w:rPr>
          <w:rFonts w:hint="eastAsia"/>
          <w:color w:val="333333"/>
          <w:szCs w:val="21"/>
        </w:rPr>
        <w:t>等方面的意见和建议，包括教师是否有</w:t>
      </w:r>
      <w:r>
        <w:rPr>
          <w:color w:val="333333"/>
          <w:szCs w:val="21"/>
        </w:rPr>
        <w:t>责任心、</w:t>
      </w:r>
      <w:r>
        <w:rPr>
          <w:rFonts w:hint="eastAsia"/>
          <w:color w:val="333333"/>
          <w:szCs w:val="21"/>
        </w:rPr>
        <w:t>有爱心，课前</w:t>
      </w:r>
      <w:r>
        <w:rPr>
          <w:color w:val="333333"/>
          <w:szCs w:val="21"/>
        </w:rPr>
        <w:t>准备</w:t>
      </w:r>
      <w:r>
        <w:rPr>
          <w:rFonts w:hint="eastAsia"/>
          <w:color w:val="333333"/>
          <w:szCs w:val="21"/>
        </w:rPr>
        <w:t>是否充分，</w:t>
      </w:r>
      <w:r>
        <w:rPr>
          <w:color w:val="333333"/>
          <w:szCs w:val="21"/>
        </w:rPr>
        <w:t>教学内容</w:t>
      </w:r>
      <w:r>
        <w:rPr>
          <w:rFonts w:hint="eastAsia"/>
          <w:color w:val="333333"/>
          <w:szCs w:val="21"/>
        </w:rPr>
        <w:t>是否讲解清楚，重点、难点是否讲透，时间</w:t>
      </w:r>
      <w:r>
        <w:rPr>
          <w:color w:val="333333"/>
          <w:szCs w:val="21"/>
        </w:rPr>
        <w:t>安排</w:t>
      </w:r>
      <w:r>
        <w:rPr>
          <w:rFonts w:hint="eastAsia"/>
          <w:color w:val="333333"/>
          <w:szCs w:val="21"/>
        </w:rPr>
        <w:t>是否合理，是否注重</w:t>
      </w:r>
      <w:r>
        <w:rPr>
          <w:color w:val="333333"/>
          <w:szCs w:val="21"/>
        </w:rPr>
        <w:t>介绍最新学科知识及学科前沿动态</w:t>
      </w:r>
      <w:r>
        <w:rPr>
          <w:rFonts w:hint="eastAsia"/>
          <w:color w:val="333333"/>
          <w:szCs w:val="21"/>
        </w:rPr>
        <w:t>，能否调动学生参与，</w:t>
      </w:r>
      <w:r>
        <w:rPr>
          <w:color w:val="333333"/>
          <w:szCs w:val="21"/>
        </w:rPr>
        <w:t>着眼于培养学生</w:t>
      </w:r>
      <w:r>
        <w:rPr>
          <w:rFonts w:hint="eastAsia"/>
          <w:color w:val="333333"/>
          <w:szCs w:val="21"/>
        </w:rPr>
        <w:t>综合</w:t>
      </w:r>
      <w:r>
        <w:rPr>
          <w:color w:val="333333"/>
          <w:szCs w:val="21"/>
        </w:rPr>
        <w:t>能力</w:t>
      </w:r>
      <w:r>
        <w:rPr>
          <w:rFonts w:hint="eastAsia"/>
          <w:color w:val="333333"/>
          <w:szCs w:val="21"/>
        </w:rPr>
        <w:t>、</w:t>
      </w:r>
      <w:r>
        <w:rPr>
          <w:color w:val="333333"/>
          <w:szCs w:val="21"/>
        </w:rPr>
        <w:t>素质及学生学习和科研的引导，板书</w:t>
      </w:r>
      <w:r>
        <w:rPr>
          <w:rFonts w:hint="eastAsia"/>
          <w:color w:val="333333"/>
          <w:szCs w:val="21"/>
        </w:rPr>
        <w:t>是否整齐，</w:t>
      </w:r>
      <w:r>
        <w:rPr>
          <w:color w:val="333333"/>
          <w:szCs w:val="21"/>
        </w:rPr>
        <w:t>语言表达、举止仪表、</w:t>
      </w:r>
      <w:r>
        <w:rPr>
          <w:rFonts w:hint="eastAsia"/>
          <w:color w:val="333333"/>
          <w:szCs w:val="21"/>
        </w:rPr>
        <w:t>课外</w:t>
      </w:r>
      <w:r>
        <w:rPr>
          <w:color w:val="333333"/>
          <w:szCs w:val="21"/>
        </w:rPr>
        <w:t>辅导及作业批改情况</w:t>
      </w:r>
      <w:r>
        <w:rPr>
          <w:rFonts w:hint="eastAsia"/>
          <w:color w:val="333333"/>
          <w:szCs w:val="21"/>
        </w:rPr>
        <w:t>如何</w:t>
      </w:r>
      <w:r>
        <w:rPr>
          <w:color w:val="333333"/>
          <w:szCs w:val="21"/>
        </w:rPr>
        <w:t>；能否教书育人，公正</w:t>
      </w:r>
      <w:r>
        <w:rPr>
          <w:rFonts w:hint="eastAsia"/>
          <w:color w:val="333333"/>
          <w:szCs w:val="21"/>
        </w:rPr>
        <w:t>、客观</w:t>
      </w:r>
      <w:r>
        <w:rPr>
          <w:color w:val="333333"/>
          <w:szCs w:val="21"/>
        </w:rPr>
        <w:t>地评价学生等</w:t>
      </w:r>
      <w:r>
        <w:rPr>
          <w:rFonts w:hint="eastAsia"/>
          <w:color w:val="333333"/>
          <w:szCs w:val="21"/>
        </w:rPr>
        <w:t>。</w:t>
      </w:r>
    </w:p>
    <w:p>
      <w:pPr>
        <w:pStyle w:val="10"/>
        <w:spacing w:before="0" w:beforeAutospacing="0" w:after="0" w:afterAutospacing="0" w:line="360" w:lineRule="auto"/>
        <w:ind w:firstLine="480" w:firstLineChars="200"/>
        <w:rPr>
          <w:color w:val="333333"/>
          <w:szCs w:val="21"/>
        </w:rPr>
      </w:pPr>
      <w:r>
        <w:rPr>
          <w:color w:val="333333"/>
          <w:szCs w:val="21"/>
        </w:rPr>
        <w:t>2、实践教学方面</w:t>
      </w:r>
      <w:r>
        <w:rPr>
          <w:rFonts w:hint="eastAsia"/>
          <w:color w:val="333333"/>
          <w:szCs w:val="21"/>
        </w:rPr>
        <w:t>，反映学生对各实践教学环节（实验、</w:t>
      </w:r>
      <w:r>
        <w:rPr>
          <w:color w:val="333333"/>
          <w:szCs w:val="21"/>
        </w:rPr>
        <w:t>专业实习、专业调查、</w:t>
      </w:r>
      <w:r>
        <w:rPr>
          <w:rFonts w:hint="eastAsia"/>
          <w:color w:val="333333"/>
          <w:szCs w:val="21"/>
        </w:rPr>
        <w:t>教育见习、</w:t>
      </w:r>
      <w:r>
        <w:rPr>
          <w:color w:val="333333"/>
          <w:szCs w:val="21"/>
        </w:rPr>
        <w:t>毕业实习等</w:t>
      </w:r>
      <w:r>
        <w:rPr>
          <w:rFonts w:hint="eastAsia"/>
          <w:color w:val="333333"/>
          <w:szCs w:val="21"/>
        </w:rPr>
        <w:t>）教学组织与管理、教学效果等方面的意见和建议</w:t>
      </w:r>
      <w:r>
        <w:rPr>
          <w:color w:val="333333"/>
          <w:szCs w:val="21"/>
        </w:rPr>
        <w:t>。</w:t>
      </w:r>
    </w:p>
    <w:p>
      <w:pPr>
        <w:pStyle w:val="10"/>
        <w:spacing w:before="0" w:beforeAutospacing="0" w:after="0" w:afterAutospacing="0" w:line="360" w:lineRule="auto"/>
        <w:ind w:firstLine="480" w:firstLineChars="200"/>
        <w:rPr>
          <w:color w:val="333333"/>
          <w:szCs w:val="21"/>
        </w:rPr>
      </w:pPr>
      <w:r>
        <w:rPr>
          <w:color w:val="333333"/>
          <w:szCs w:val="21"/>
        </w:rPr>
        <w:t>3、</w:t>
      </w:r>
      <w:r>
        <w:rPr>
          <w:rFonts w:hint="eastAsia"/>
          <w:color w:val="333333"/>
          <w:szCs w:val="21"/>
        </w:rPr>
        <w:t>反映学生对全院教学管理部门（含教务处</w:t>
      </w:r>
      <w:r>
        <w:rPr>
          <w:color w:val="333333"/>
          <w:szCs w:val="21"/>
        </w:rPr>
        <w:t>及</w:t>
      </w:r>
      <w:r>
        <w:rPr>
          <w:rFonts w:hint="eastAsia"/>
          <w:color w:val="333333"/>
          <w:szCs w:val="21"/>
        </w:rPr>
        <w:t>教学系、部）</w:t>
      </w:r>
      <w:r>
        <w:rPr>
          <w:color w:val="333333"/>
          <w:szCs w:val="21"/>
        </w:rPr>
        <w:t>教学管理</w:t>
      </w:r>
      <w:r>
        <w:rPr>
          <w:rFonts w:hint="eastAsia"/>
          <w:color w:val="333333"/>
          <w:szCs w:val="21"/>
        </w:rPr>
        <w:t>工作的意见和建议，</w:t>
      </w:r>
      <w:r>
        <w:rPr>
          <w:color w:val="333333"/>
          <w:szCs w:val="21"/>
        </w:rPr>
        <w:t>包括新的管理</w:t>
      </w:r>
      <w:r>
        <w:rPr>
          <w:rFonts w:hint="eastAsia"/>
          <w:color w:val="333333"/>
          <w:szCs w:val="21"/>
        </w:rPr>
        <w:t>制度、</w:t>
      </w:r>
      <w:r>
        <w:rPr>
          <w:color w:val="333333"/>
          <w:szCs w:val="21"/>
        </w:rPr>
        <w:t>措施实施后的反响，教学管理过程中的问题与不足、成功的管理经验、好的管理建议等。</w:t>
      </w:r>
    </w:p>
    <w:p>
      <w:pPr>
        <w:pStyle w:val="10"/>
        <w:spacing w:before="0" w:beforeAutospacing="0" w:after="0" w:afterAutospacing="0" w:line="360" w:lineRule="auto"/>
        <w:ind w:firstLine="480" w:firstLineChars="200"/>
        <w:rPr>
          <w:color w:val="333333"/>
          <w:szCs w:val="21"/>
        </w:rPr>
      </w:pPr>
      <w:r>
        <w:rPr>
          <w:color w:val="333333"/>
          <w:szCs w:val="21"/>
        </w:rPr>
        <w:t>4、</w:t>
      </w:r>
      <w:r>
        <w:rPr>
          <w:rFonts w:hint="eastAsia"/>
          <w:color w:val="333333"/>
          <w:szCs w:val="21"/>
        </w:rPr>
        <w:t>反映学生对全院教学保障部门教学保障工作（如教室清洁卫生、门窗水电、教学设施、设备管理工作等）的意见和建议。</w:t>
      </w:r>
    </w:p>
    <w:p>
      <w:pPr>
        <w:pStyle w:val="10"/>
        <w:spacing w:before="0" w:beforeAutospacing="0" w:after="0" w:afterAutospacing="0" w:line="360" w:lineRule="auto"/>
        <w:ind w:firstLine="480" w:firstLineChars="200"/>
        <w:rPr>
          <w:color w:val="333333"/>
          <w:szCs w:val="21"/>
        </w:rPr>
      </w:pPr>
      <w:r>
        <w:rPr>
          <w:rFonts w:hint="eastAsia"/>
          <w:color w:val="333333"/>
          <w:szCs w:val="21"/>
        </w:rPr>
        <w:t>5、反映学生对全院其它</w:t>
      </w:r>
      <w:r>
        <w:rPr>
          <w:color w:val="333333"/>
          <w:szCs w:val="21"/>
        </w:rPr>
        <w:t>教学</w:t>
      </w:r>
      <w:r>
        <w:rPr>
          <w:rFonts w:hint="eastAsia"/>
          <w:color w:val="333333"/>
          <w:szCs w:val="21"/>
        </w:rPr>
        <w:t>基础</w:t>
      </w:r>
      <w:r>
        <w:rPr>
          <w:color w:val="333333"/>
          <w:szCs w:val="21"/>
        </w:rPr>
        <w:t>设施的使用情况与</w:t>
      </w:r>
      <w:r>
        <w:rPr>
          <w:rFonts w:hint="eastAsia"/>
          <w:color w:val="333333"/>
          <w:szCs w:val="21"/>
        </w:rPr>
        <w:t>存在</w:t>
      </w:r>
      <w:r>
        <w:rPr>
          <w:color w:val="333333"/>
          <w:szCs w:val="21"/>
        </w:rPr>
        <w:t>问题</w:t>
      </w:r>
      <w:r>
        <w:rPr>
          <w:rFonts w:hint="eastAsia"/>
          <w:color w:val="333333"/>
          <w:szCs w:val="21"/>
        </w:rPr>
        <w:t>，如</w:t>
      </w:r>
      <w:r>
        <w:rPr>
          <w:color w:val="333333"/>
          <w:szCs w:val="21"/>
        </w:rPr>
        <w:t>自修室、实验室、图书资料、音响照明等。</w:t>
      </w:r>
    </w:p>
    <w:p>
      <w:pPr>
        <w:pStyle w:val="10"/>
        <w:spacing w:before="0" w:beforeAutospacing="0" w:after="0" w:afterAutospacing="0" w:line="360" w:lineRule="auto"/>
        <w:ind w:firstLine="480" w:firstLineChars="200"/>
        <w:rPr>
          <w:color w:val="333333"/>
          <w:szCs w:val="21"/>
        </w:rPr>
      </w:pPr>
      <w:r>
        <w:rPr>
          <w:rFonts w:hint="eastAsia"/>
          <w:color w:val="333333"/>
          <w:szCs w:val="21"/>
        </w:rPr>
        <w:t>6、反映</w:t>
      </w:r>
      <w:r>
        <w:rPr>
          <w:color w:val="333333"/>
          <w:szCs w:val="21"/>
        </w:rPr>
        <w:t>学生</w:t>
      </w:r>
      <w:r>
        <w:rPr>
          <w:rFonts w:hint="eastAsia"/>
          <w:color w:val="333333"/>
          <w:szCs w:val="21"/>
        </w:rPr>
        <w:t>学习风气、学习态度、遵守校纪校规、</w:t>
      </w:r>
      <w:r>
        <w:rPr>
          <w:color w:val="333333"/>
          <w:szCs w:val="21"/>
        </w:rPr>
        <w:t>课</w:t>
      </w:r>
      <w:r>
        <w:rPr>
          <w:rFonts w:hint="eastAsia"/>
          <w:color w:val="333333"/>
          <w:szCs w:val="21"/>
        </w:rPr>
        <w:t>内</w:t>
      </w:r>
      <w:r>
        <w:rPr>
          <w:color w:val="333333"/>
          <w:szCs w:val="21"/>
        </w:rPr>
        <w:t>外学习</w:t>
      </w:r>
      <w:r>
        <w:rPr>
          <w:rFonts w:hint="eastAsia"/>
          <w:color w:val="333333"/>
          <w:szCs w:val="21"/>
        </w:rPr>
        <w:t>情况（如听课、实验、实习、作业、考试等学习状况及</w:t>
      </w:r>
      <w:r>
        <w:rPr>
          <w:color w:val="333333"/>
          <w:szCs w:val="21"/>
        </w:rPr>
        <w:t>迟到、早退、旷课、课堂秩序等</w:t>
      </w:r>
      <w:r>
        <w:rPr>
          <w:rFonts w:hint="eastAsia"/>
          <w:color w:val="333333"/>
          <w:szCs w:val="21"/>
        </w:rPr>
        <w:t>情况）</w:t>
      </w:r>
      <w:r>
        <w:rPr>
          <w:color w:val="333333"/>
          <w:szCs w:val="21"/>
        </w:rPr>
        <w:t>。</w:t>
      </w:r>
    </w:p>
    <w:p>
      <w:pPr>
        <w:pStyle w:val="10"/>
        <w:spacing w:before="0" w:beforeAutospacing="0" w:after="0" w:afterAutospacing="0" w:line="360" w:lineRule="auto"/>
        <w:ind w:firstLine="480" w:firstLineChars="200"/>
        <w:rPr>
          <w:color w:val="333333"/>
          <w:szCs w:val="21"/>
        </w:rPr>
      </w:pPr>
      <w:r>
        <w:rPr>
          <w:color w:val="333333"/>
          <w:szCs w:val="21"/>
        </w:rPr>
        <w:t>7、</w:t>
      </w:r>
      <w:r>
        <w:rPr>
          <w:rFonts w:hint="eastAsia"/>
          <w:color w:val="333333"/>
          <w:szCs w:val="21"/>
        </w:rPr>
        <w:t>协助教务处和各教学系（部）做好教师课堂教学质量评价等工作。</w:t>
      </w:r>
    </w:p>
    <w:p>
      <w:pPr>
        <w:pStyle w:val="10"/>
        <w:spacing w:before="0" w:beforeAutospacing="0" w:after="0" w:afterAutospacing="0" w:line="360" w:lineRule="auto"/>
        <w:ind w:left="206" w:leftChars="98" w:firstLine="117" w:firstLineChars="49"/>
        <w:rPr>
          <w:b/>
          <w:color w:val="333333"/>
          <w:szCs w:val="21"/>
        </w:rPr>
      </w:pPr>
      <w:r>
        <w:rPr>
          <w:color w:val="333333"/>
          <w:szCs w:val="21"/>
        </w:rPr>
        <w:t xml:space="preserve"> </w:t>
      </w:r>
      <w:r>
        <w:rPr>
          <w:b/>
          <w:color w:val="333333"/>
          <w:szCs w:val="21"/>
        </w:rPr>
        <w:t>四</w:t>
      </w:r>
      <w:r>
        <w:rPr>
          <w:rFonts w:hint="eastAsia"/>
          <w:b/>
          <w:color w:val="333333"/>
          <w:szCs w:val="21"/>
        </w:rPr>
        <w:t>、学生教学信息员</w:t>
      </w:r>
      <w:r>
        <w:rPr>
          <w:b/>
          <w:color w:val="333333"/>
          <w:szCs w:val="21"/>
        </w:rPr>
        <w:t>工作方式</w:t>
      </w:r>
    </w:p>
    <w:p>
      <w:pPr>
        <w:pStyle w:val="10"/>
        <w:spacing w:before="0" w:beforeAutospacing="0" w:after="0" w:afterAutospacing="0" w:line="360" w:lineRule="auto"/>
        <w:ind w:firstLine="480" w:firstLineChars="200"/>
        <w:rPr>
          <w:color w:val="333333"/>
          <w:szCs w:val="21"/>
        </w:rPr>
      </w:pPr>
      <w:r>
        <w:rPr>
          <w:color w:val="333333"/>
          <w:szCs w:val="21"/>
        </w:rPr>
        <w:t>1</w:t>
      </w:r>
      <w:r>
        <w:rPr>
          <w:rFonts w:hint="eastAsia"/>
          <w:color w:val="333333"/>
          <w:szCs w:val="21"/>
        </w:rPr>
        <w:t>、</w:t>
      </w:r>
      <w:r>
        <w:rPr>
          <w:color w:val="333333"/>
          <w:szCs w:val="21"/>
        </w:rPr>
        <w:t>学生教学信息员按照学</w:t>
      </w:r>
      <w:r>
        <w:rPr>
          <w:rFonts w:hint="eastAsia"/>
          <w:color w:val="333333"/>
          <w:szCs w:val="21"/>
        </w:rPr>
        <w:t>院</w:t>
      </w:r>
      <w:r>
        <w:rPr>
          <w:color w:val="333333"/>
          <w:szCs w:val="21"/>
        </w:rPr>
        <w:t>教学工作计划、教学工作规范等要求，通过上课、座谈、问卷调查等方式了解教学情况，原则上每</w:t>
      </w:r>
      <w:r>
        <w:rPr>
          <w:rFonts w:hint="eastAsia"/>
          <w:color w:val="333333"/>
          <w:szCs w:val="21"/>
        </w:rPr>
        <w:t>1~2</w:t>
      </w:r>
      <w:r>
        <w:rPr>
          <w:color w:val="333333"/>
          <w:szCs w:val="21"/>
        </w:rPr>
        <w:t>周</w:t>
      </w:r>
      <w:r>
        <w:rPr>
          <w:rFonts w:hint="eastAsia"/>
          <w:color w:val="333333"/>
          <w:szCs w:val="21"/>
        </w:rPr>
        <w:t>书面</w:t>
      </w:r>
      <w:r>
        <w:rPr>
          <w:color w:val="333333"/>
          <w:szCs w:val="21"/>
        </w:rPr>
        <w:t>向</w:t>
      </w:r>
      <w:r>
        <w:rPr>
          <w:rFonts w:hint="eastAsia"/>
          <w:color w:val="333333"/>
          <w:szCs w:val="21"/>
        </w:rPr>
        <w:t>教学系、</w:t>
      </w:r>
      <w:r>
        <w:rPr>
          <w:color w:val="333333"/>
          <w:szCs w:val="21"/>
        </w:rPr>
        <w:t>教务处反馈一次教学信息；</w:t>
      </w:r>
      <w:r>
        <w:rPr>
          <w:color w:val="333333"/>
          <w:szCs w:val="21"/>
        </w:rPr>
        <w:br w:type="textWrapping"/>
      </w:r>
      <w:r>
        <w:rPr>
          <w:rFonts w:hint="eastAsia"/>
          <w:color w:val="333333"/>
          <w:szCs w:val="21"/>
        </w:rPr>
        <w:t xml:space="preserve">    2、</w:t>
      </w:r>
      <w:r>
        <w:rPr>
          <w:color w:val="333333"/>
          <w:szCs w:val="21"/>
        </w:rPr>
        <w:t>通过信函、电话、电子邮件等渠道不定期向学</w:t>
      </w:r>
      <w:r>
        <w:rPr>
          <w:rFonts w:hint="eastAsia"/>
          <w:color w:val="333333"/>
          <w:szCs w:val="21"/>
        </w:rPr>
        <w:t>院</w:t>
      </w:r>
      <w:r>
        <w:rPr>
          <w:color w:val="333333"/>
          <w:szCs w:val="21"/>
        </w:rPr>
        <w:t>、</w:t>
      </w:r>
      <w:r>
        <w:rPr>
          <w:rFonts w:hint="eastAsia"/>
          <w:color w:val="333333"/>
          <w:szCs w:val="21"/>
        </w:rPr>
        <w:t>教学系</w:t>
      </w:r>
      <w:r>
        <w:rPr>
          <w:color w:val="333333"/>
          <w:szCs w:val="21"/>
        </w:rPr>
        <w:t>反馈教学和教学管理工作中的问题，</w:t>
      </w:r>
      <w:r>
        <w:rPr>
          <w:rFonts w:hint="eastAsia"/>
          <w:color w:val="333333"/>
          <w:szCs w:val="21"/>
        </w:rPr>
        <w:t>并</w:t>
      </w:r>
      <w:r>
        <w:rPr>
          <w:color w:val="333333"/>
          <w:szCs w:val="21"/>
        </w:rPr>
        <w:t>提出意见和建议；</w:t>
      </w:r>
      <w:r>
        <w:rPr>
          <w:color w:val="333333"/>
          <w:szCs w:val="21"/>
        </w:rPr>
        <w:br w:type="textWrapping"/>
      </w:r>
      <w:r>
        <w:rPr>
          <w:rFonts w:hint="eastAsia"/>
          <w:color w:val="333333"/>
          <w:szCs w:val="21"/>
        </w:rPr>
        <w:t xml:space="preserve">    </w:t>
      </w:r>
      <w:r>
        <w:rPr>
          <w:color w:val="333333"/>
          <w:szCs w:val="21"/>
        </w:rPr>
        <w:t>3</w:t>
      </w:r>
      <w:r>
        <w:rPr>
          <w:rFonts w:hint="eastAsia"/>
          <w:color w:val="333333"/>
          <w:szCs w:val="21"/>
        </w:rPr>
        <w:t>、</w:t>
      </w:r>
      <w:r>
        <w:rPr>
          <w:color w:val="333333"/>
          <w:szCs w:val="21"/>
        </w:rPr>
        <w:t>每学期开学</w:t>
      </w:r>
      <w:r>
        <w:rPr>
          <w:rFonts w:hint="eastAsia"/>
          <w:color w:val="333333"/>
          <w:szCs w:val="21"/>
        </w:rPr>
        <w:t>、期中</w:t>
      </w:r>
      <w:r>
        <w:rPr>
          <w:color w:val="333333"/>
          <w:szCs w:val="21"/>
        </w:rPr>
        <w:t>和放假前各召开一次</w:t>
      </w:r>
      <w:r>
        <w:rPr>
          <w:rFonts w:hint="eastAsia"/>
          <w:color w:val="333333"/>
          <w:szCs w:val="21"/>
        </w:rPr>
        <w:t>工作</w:t>
      </w:r>
      <w:r>
        <w:rPr>
          <w:color w:val="333333"/>
          <w:szCs w:val="21"/>
        </w:rPr>
        <w:t>会</w:t>
      </w:r>
      <w:r>
        <w:rPr>
          <w:rFonts w:hint="eastAsia"/>
          <w:color w:val="333333"/>
          <w:szCs w:val="21"/>
        </w:rPr>
        <w:t>。</w:t>
      </w:r>
      <w:r>
        <w:rPr>
          <w:color w:val="333333"/>
          <w:szCs w:val="21"/>
        </w:rPr>
        <w:t>并可经教务处批准，视需要开展有关活动。</w:t>
      </w:r>
    </w:p>
    <w:p>
      <w:pPr>
        <w:pStyle w:val="10"/>
        <w:spacing w:before="0" w:beforeAutospacing="0" w:after="0" w:afterAutospacing="0" w:line="360" w:lineRule="auto"/>
        <w:ind w:left="2" w:leftChars="1" w:firstLine="537" w:firstLineChars="223"/>
        <w:rPr>
          <w:b/>
          <w:color w:val="333333"/>
          <w:szCs w:val="21"/>
        </w:rPr>
      </w:pPr>
      <w:r>
        <w:rPr>
          <w:rFonts w:hint="eastAsia"/>
          <w:b/>
          <w:color w:val="333333"/>
          <w:szCs w:val="21"/>
        </w:rPr>
        <w:t>五、学生教学信息员的</w:t>
      </w:r>
      <w:r>
        <w:rPr>
          <w:b/>
          <w:color w:val="333333"/>
          <w:szCs w:val="21"/>
        </w:rPr>
        <w:t>考核和奖励</w:t>
      </w:r>
    </w:p>
    <w:p>
      <w:pPr>
        <w:pStyle w:val="10"/>
        <w:spacing w:before="0" w:beforeAutospacing="0" w:after="0" w:afterAutospacing="0" w:line="360" w:lineRule="auto"/>
        <w:ind w:left="2" w:leftChars="1" w:firstLine="480" w:firstLineChars="200"/>
        <w:rPr>
          <w:b/>
          <w:color w:val="333333"/>
          <w:szCs w:val="21"/>
        </w:rPr>
      </w:pPr>
      <w:r>
        <w:rPr>
          <w:rFonts w:hint="eastAsia"/>
          <w:bCs/>
          <w:color w:val="333333"/>
          <w:szCs w:val="21"/>
        </w:rPr>
        <w:t>1、</w:t>
      </w:r>
      <w:r>
        <w:rPr>
          <w:rFonts w:hint="eastAsia"/>
          <w:color w:val="333333"/>
          <w:szCs w:val="21"/>
        </w:rPr>
        <w:t>系</w:t>
      </w:r>
      <w:r>
        <w:rPr>
          <w:color w:val="333333"/>
          <w:szCs w:val="21"/>
        </w:rPr>
        <w:t>学生教学信息</w:t>
      </w:r>
      <w:r>
        <w:rPr>
          <w:rFonts w:hint="eastAsia"/>
          <w:color w:val="333333"/>
          <w:szCs w:val="21"/>
        </w:rPr>
        <w:t>小</w:t>
      </w:r>
      <w:r>
        <w:rPr>
          <w:color w:val="333333"/>
          <w:szCs w:val="21"/>
        </w:rPr>
        <w:t>组正、副组长享受</w:t>
      </w:r>
      <w:r>
        <w:rPr>
          <w:rFonts w:hint="eastAsia"/>
          <w:color w:val="333333"/>
          <w:szCs w:val="21"/>
        </w:rPr>
        <w:t>系</w:t>
      </w:r>
      <w:r>
        <w:rPr>
          <w:color w:val="333333"/>
          <w:szCs w:val="21"/>
        </w:rPr>
        <w:t>学生干部同等待遇。学</w:t>
      </w:r>
      <w:r>
        <w:rPr>
          <w:rFonts w:hint="eastAsia"/>
          <w:color w:val="333333"/>
          <w:szCs w:val="21"/>
        </w:rPr>
        <w:t>院</w:t>
      </w:r>
      <w:r>
        <w:rPr>
          <w:color w:val="333333"/>
          <w:szCs w:val="21"/>
        </w:rPr>
        <w:t>教学信</w:t>
      </w:r>
      <w:r>
        <w:rPr>
          <w:rFonts w:hint="eastAsia"/>
          <w:color w:val="333333"/>
          <w:szCs w:val="21"/>
        </w:rPr>
        <w:t>息中心主任、</w:t>
      </w:r>
      <w:r>
        <w:rPr>
          <w:color w:val="333333"/>
          <w:szCs w:val="21"/>
        </w:rPr>
        <w:t>副</w:t>
      </w:r>
      <w:r>
        <w:rPr>
          <w:rFonts w:hint="eastAsia"/>
          <w:color w:val="333333"/>
          <w:szCs w:val="21"/>
        </w:rPr>
        <w:t>主任</w:t>
      </w:r>
      <w:r>
        <w:rPr>
          <w:color w:val="333333"/>
          <w:szCs w:val="21"/>
        </w:rPr>
        <w:t>享受</w:t>
      </w:r>
      <w:r>
        <w:rPr>
          <w:rFonts w:hint="eastAsia"/>
          <w:color w:val="333333"/>
          <w:szCs w:val="21"/>
        </w:rPr>
        <w:t>学院</w:t>
      </w:r>
      <w:r>
        <w:rPr>
          <w:color w:val="333333"/>
          <w:szCs w:val="21"/>
        </w:rPr>
        <w:t>学生</w:t>
      </w:r>
      <w:r>
        <w:rPr>
          <w:rFonts w:hint="eastAsia"/>
          <w:color w:val="333333"/>
          <w:szCs w:val="21"/>
        </w:rPr>
        <w:t>会</w:t>
      </w:r>
      <w:r>
        <w:rPr>
          <w:color w:val="333333"/>
          <w:szCs w:val="21"/>
        </w:rPr>
        <w:t>干部同等待遇</w:t>
      </w:r>
      <w:r>
        <w:rPr>
          <w:rFonts w:hint="eastAsia"/>
          <w:color w:val="333333"/>
          <w:szCs w:val="21"/>
        </w:rPr>
        <w:t>。</w:t>
      </w:r>
    </w:p>
    <w:p>
      <w:pPr>
        <w:pStyle w:val="10"/>
        <w:spacing w:before="0" w:beforeAutospacing="0" w:after="0" w:afterAutospacing="0" w:line="360" w:lineRule="auto"/>
        <w:ind w:left="2" w:leftChars="1" w:firstLine="480" w:firstLineChars="200"/>
        <w:rPr>
          <w:color w:val="333333"/>
          <w:szCs w:val="21"/>
        </w:rPr>
      </w:pPr>
      <w:r>
        <w:rPr>
          <w:rFonts w:hint="eastAsia"/>
          <w:color w:val="333333"/>
          <w:szCs w:val="21"/>
        </w:rPr>
        <w:t>2、</w:t>
      </w:r>
      <w:r>
        <w:rPr>
          <w:color w:val="333333"/>
          <w:szCs w:val="21"/>
        </w:rPr>
        <w:t>根据学生教学信息员反馈教学信息的数量与质量、出席会议以及工作表现等情况</w:t>
      </w:r>
      <w:r>
        <w:rPr>
          <w:rFonts w:hint="eastAsia"/>
          <w:color w:val="333333"/>
          <w:szCs w:val="21"/>
        </w:rPr>
        <w:t>，</w:t>
      </w:r>
      <w:r>
        <w:rPr>
          <w:color w:val="333333"/>
          <w:szCs w:val="21"/>
        </w:rPr>
        <w:t>教务处每</w:t>
      </w:r>
      <w:r>
        <w:rPr>
          <w:rFonts w:hint="eastAsia"/>
          <w:color w:val="333333"/>
          <w:szCs w:val="21"/>
        </w:rPr>
        <w:t>学年</w:t>
      </w:r>
      <w:r>
        <w:rPr>
          <w:color w:val="333333"/>
          <w:szCs w:val="21"/>
        </w:rPr>
        <w:t>对</w:t>
      </w:r>
      <w:r>
        <w:rPr>
          <w:rFonts w:hint="eastAsia"/>
          <w:color w:val="333333"/>
          <w:szCs w:val="21"/>
        </w:rPr>
        <w:t>学生教学</w:t>
      </w:r>
      <w:r>
        <w:rPr>
          <w:color w:val="333333"/>
          <w:szCs w:val="21"/>
        </w:rPr>
        <w:t>信息员进行考核，评出“优秀</w:t>
      </w:r>
      <w:r>
        <w:rPr>
          <w:rFonts w:hint="eastAsia"/>
          <w:color w:val="333333"/>
          <w:szCs w:val="21"/>
        </w:rPr>
        <w:t>学生</w:t>
      </w:r>
      <w:r>
        <w:rPr>
          <w:color w:val="333333"/>
          <w:szCs w:val="21"/>
        </w:rPr>
        <w:t>教学信息员”、“教学信息工作先进班集体”和“</w:t>
      </w:r>
      <w:r>
        <w:rPr>
          <w:rFonts w:hint="eastAsia"/>
          <w:color w:val="333333"/>
          <w:szCs w:val="21"/>
        </w:rPr>
        <w:t>学生</w:t>
      </w:r>
      <w:r>
        <w:rPr>
          <w:color w:val="333333"/>
          <w:szCs w:val="21"/>
        </w:rPr>
        <w:t>教学信息工作积极分子”</w:t>
      </w:r>
      <w:r>
        <w:rPr>
          <w:rFonts w:hint="eastAsia"/>
          <w:color w:val="333333"/>
          <w:szCs w:val="21"/>
        </w:rPr>
        <w:t>，并给予物质和精神奖励。</w:t>
      </w:r>
    </w:p>
    <w:p>
      <w:pPr>
        <w:pStyle w:val="10"/>
        <w:spacing w:before="0" w:beforeAutospacing="0" w:after="0" w:afterAutospacing="0" w:line="360" w:lineRule="auto"/>
        <w:ind w:firstLine="482" w:firstLineChars="200"/>
        <w:rPr>
          <w:color w:val="333333"/>
          <w:szCs w:val="21"/>
        </w:rPr>
      </w:pPr>
      <w:r>
        <w:rPr>
          <w:rFonts w:hint="eastAsia"/>
          <w:b/>
          <w:color w:val="333333"/>
          <w:szCs w:val="21"/>
        </w:rPr>
        <w:t>六、</w:t>
      </w:r>
      <w:r>
        <w:rPr>
          <w:color w:val="333333"/>
          <w:szCs w:val="21"/>
        </w:rPr>
        <w:t>本</w:t>
      </w:r>
      <w:r>
        <w:rPr>
          <w:rFonts w:hint="eastAsia"/>
          <w:color w:val="333333"/>
          <w:szCs w:val="21"/>
        </w:rPr>
        <w:t>管理办法自发布之日起实施，</w:t>
      </w:r>
      <w:r>
        <w:rPr>
          <w:color w:val="333333"/>
          <w:szCs w:val="21"/>
        </w:rPr>
        <w:t>由教务处负责解释。</w:t>
      </w:r>
    </w:p>
    <w:p>
      <w:pPr>
        <w:snapToGrid w:val="0"/>
        <w:spacing w:line="360" w:lineRule="auto"/>
        <w:ind w:firstLine="480"/>
        <w:rPr>
          <w:rFonts w:ascii="宋体" w:hAnsi="宋体"/>
          <w:color w:val="333333"/>
          <w:kern w:val="0"/>
          <w:sz w:val="24"/>
          <w:szCs w:val="21"/>
        </w:rPr>
      </w:pPr>
    </w:p>
    <w:p>
      <w:pPr>
        <w:snapToGrid w:val="0"/>
        <w:spacing w:line="360" w:lineRule="auto"/>
        <w:ind w:firstLine="480"/>
        <w:rPr>
          <w:rFonts w:ascii="宋体" w:hAnsi="宋体"/>
          <w:color w:val="333333"/>
          <w:kern w:val="0"/>
          <w:sz w:val="24"/>
          <w:szCs w:val="21"/>
        </w:rPr>
      </w:pPr>
    </w:p>
    <w:p>
      <w:pPr>
        <w:snapToGrid w:val="0"/>
        <w:spacing w:line="360" w:lineRule="auto"/>
        <w:ind w:firstLine="480"/>
        <w:rPr>
          <w:rFonts w:ascii="宋体" w:hAnsi="宋体"/>
          <w:color w:val="333333"/>
          <w:kern w:val="0"/>
          <w:sz w:val="24"/>
          <w:szCs w:val="21"/>
        </w:rPr>
      </w:pPr>
      <w:r>
        <w:rPr>
          <w:rFonts w:hint="eastAsia" w:ascii="宋体" w:hAnsi="宋体"/>
          <w:color w:val="333333"/>
          <w:kern w:val="0"/>
          <w:sz w:val="24"/>
          <w:szCs w:val="21"/>
        </w:rPr>
        <w:t>附件一：内江师范学院学生教学信息员审批表</w:t>
      </w:r>
    </w:p>
    <w:p>
      <w:pPr>
        <w:snapToGrid w:val="0"/>
        <w:spacing w:line="360" w:lineRule="auto"/>
        <w:ind w:firstLine="480"/>
        <w:rPr>
          <w:rFonts w:ascii="宋体" w:hAnsi="宋体"/>
          <w:color w:val="333333"/>
          <w:kern w:val="0"/>
          <w:sz w:val="24"/>
          <w:szCs w:val="21"/>
        </w:rPr>
      </w:pPr>
      <w:r>
        <w:rPr>
          <w:rFonts w:hint="eastAsia" w:ascii="宋体" w:hAnsi="宋体"/>
          <w:color w:val="333333"/>
          <w:kern w:val="0"/>
          <w:sz w:val="24"/>
          <w:szCs w:val="21"/>
        </w:rPr>
        <w:t>附件二：内江师范学院学生教学信息员反馈意见表</w:t>
      </w:r>
    </w:p>
    <w:p>
      <w:pPr>
        <w:snapToGrid w:val="0"/>
        <w:spacing w:line="400" w:lineRule="exact"/>
        <w:rPr>
          <w:rFonts w:ascii="仿宋_GB2312" w:eastAsia="仿宋_GB2312"/>
          <w:sz w:val="24"/>
        </w:rPr>
      </w:pPr>
      <w:r>
        <w:rPr>
          <w:rFonts w:hint="eastAsia" w:ascii="仿宋_GB2312" w:eastAsia="仿宋_GB2312"/>
          <w:sz w:val="24"/>
        </w:rPr>
        <w:t> </w:t>
      </w:r>
    </w:p>
    <w:p>
      <w:pPr>
        <w:snapToGrid w:val="0"/>
        <w:spacing w:line="400" w:lineRule="exact"/>
        <w:rPr>
          <w:rFonts w:ascii="宋体" w:hAnsi="宋体"/>
          <w:b/>
          <w:bCs/>
          <w:sz w:val="24"/>
        </w:rPr>
      </w:pPr>
      <w:r>
        <w:rPr>
          <w:rFonts w:hint="eastAsia" w:ascii="仿宋_GB2312" w:eastAsia="仿宋_GB2312"/>
          <w:sz w:val="24"/>
        </w:rPr>
        <w:t xml:space="preserve">                                               </w:t>
      </w:r>
    </w:p>
    <w:p>
      <w:pPr>
        <w:snapToGrid w:val="0"/>
        <w:rPr>
          <w:rFonts w:ascii="宋体"/>
          <w:sz w:val="24"/>
          <w:szCs w:val="28"/>
        </w:rPr>
      </w:pPr>
    </w:p>
    <w:p>
      <w:pPr>
        <w:snapToGrid w:val="0"/>
        <w:rPr>
          <w:rFonts w:ascii="宋体"/>
          <w:sz w:val="24"/>
          <w:szCs w:val="28"/>
        </w:rPr>
      </w:pPr>
    </w:p>
    <w:p>
      <w:pPr>
        <w:snapToGrid w:val="0"/>
        <w:spacing w:line="400" w:lineRule="exact"/>
        <w:ind w:firstLine="5880" w:firstLineChars="2450"/>
        <w:rPr>
          <w:rFonts w:ascii="宋体" w:hAnsi="宋体"/>
          <w:b/>
          <w:bCs/>
          <w:sz w:val="24"/>
        </w:rPr>
      </w:pPr>
      <w:r>
        <w:rPr>
          <w:rFonts w:hint="eastAsia" w:ascii="宋体" w:hAnsi="宋体"/>
          <w:sz w:val="24"/>
        </w:rPr>
        <w:t>二OO六年十月三十日</w:t>
      </w:r>
    </w:p>
    <w:p>
      <w:pPr>
        <w:snapToGrid w:val="0"/>
        <w:rPr>
          <w:rFonts w:ascii="宋体"/>
          <w:sz w:val="24"/>
          <w:szCs w:val="28"/>
        </w:rPr>
      </w:pPr>
      <w:r>
        <w:rPr>
          <w:rFonts w:hint="eastAsia" w:ascii="宋体"/>
          <w:sz w:val="24"/>
          <w:szCs w:val="28"/>
        </w:rPr>
        <w:t xml:space="preserve"> </w:t>
      </w:r>
    </w:p>
    <w:p>
      <w:pPr>
        <w:snapToGrid w:val="0"/>
        <w:rPr>
          <w:rFonts w:ascii="宋体"/>
          <w:sz w:val="24"/>
          <w:szCs w:val="28"/>
        </w:rPr>
      </w:pPr>
    </w:p>
    <w:p>
      <w:pPr>
        <w:snapToGrid w:val="0"/>
        <w:rPr>
          <w:rFonts w:ascii="宋体"/>
          <w:sz w:val="24"/>
          <w:szCs w:val="28"/>
        </w:rPr>
      </w:pPr>
    </w:p>
    <w:p>
      <w:pPr>
        <w:snapToGrid w:val="0"/>
        <w:rPr>
          <w:rFonts w:ascii="宋体"/>
          <w:sz w:val="24"/>
          <w:szCs w:val="28"/>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spacing w:line="400" w:lineRule="exact"/>
        <w:rPr>
          <w:rFonts w:ascii="仿宋_GB2312" w:hAnsi="华文仿宋" w:eastAsia="仿宋_GB2312"/>
          <w:sz w:val="28"/>
          <w:u w:val="single"/>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sz w:val="28"/>
          <w:szCs w:val="28"/>
        </w:rPr>
      </w:pPr>
      <w:r>
        <w:rPr>
          <w:rFonts w:hint="eastAsia"/>
          <w:b/>
          <w:sz w:val="28"/>
          <w:szCs w:val="28"/>
        </w:rPr>
        <w:t>附件一</w:t>
      </w:r>
    </w:p>
    <w:p>
      <w:pPr>
        <w:jc w:val="center"/>
        <w:rPr>
          <w:b/>
          <w:sz w:val="32"/>
          <w:szCs w:val="32"/>
        </w:rPr>
      </w:pPr>
      <w:r>
        <w:rPr>
          <w:rFonts w:hint="eastAsia"/>
          <w:b/>
          <w:sz w:val="32"/>
          <w:szCs w:val="32"/>
        </w:rPr>
        <w:t>内江师范学院学生教学信息员审批表</w:t>
      </w:r>
    </w:p>
    <w:tbl>
      <w:tblPr>
        <w:tblStyle w:val="1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1418"/>
        <w:gridCol w:w="1507"/>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w:t>
            </w:r>
            <w:r>
              <w:t xml:space="preserve">  </w:t>
            </w:r>
            <w:r>
              <w:rPr>
                <w:rFonts w:hint="eastAsia"/>
              </w:rPr>
              <w:t>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w:t>
            </w:r>
            <w:r>
              <w:t xml:space="preserve">  </w:t>
            </w:r>
            <w:r>
              <w:rPr>
                <w:rFonts w:hint="eastAsia"/>
              </w:rPr>
              <w:t>别</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院</w:t>
            </w:r>
            <w:r>
              <w:t xml:space="preserve">  </w:t>
            </w:r>
            <w:r>
              <w:rPr>
                <w:rFonts w:hint="eastAsia"/>
              </w:rPr>
              <w:t>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班</w:t>
            </w:r>
            <w:r>
              <w:t xml:space="preserve">  </w:t>
            </w:r>
            <w:r>
              <w:rPr>
                <w:rFonts w:hint="eastAsia"/>
              </w:rPr>
              <w:t>级</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政治面貌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固定电话</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移动电话</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其他联系方式</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电子信箱</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在院、系、班担任何种职务</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在大学期间获何种奖励</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自我评价</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教学系意见</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 xml:space="preserve">                                           </w:t>
            </w:r>
            <w:r>
              <w:rPr>
                <w:rFonts w:hint="eastAsia"/>
              </w:rPr>
              <w:t>公章</w:t>
            </w:r>
          </w:p>
          <w:p>
            <w:pPr>
              <w:jc w:val="cente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教务处意见</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p>
          <w:p>
            <w:pPr>
              <w:jc w:val="center"/>
            </w:pPr>
            <w:r>
              <w:t xml:space="preserve">                                            </w:t>
            </w:r>
            <w:r>
              <w:rPr>
                <w:rFonts w:hint="eastAsia"/>
              </w:rPr>
              <w:t>公章</w:t>
            </w:r>
          </w:p>
          <w:p>
            <w:pPr>
              <w:jc w:val="center"/>
            </w:pPr>
            <w:r>
              <w:t xml:space="preserve">                                             </w:t>
            </w:r>
            <w:r>
              <w:rPr>
                <w:rFonts w:hint="eastAsia"/>
              </w:rPr>
              <w:t>年</w:t>
            </w:r>
            <w:r>
              <w:t xml:space="preserve">      </w:t>
            </w:r>
            <w:r>
              <w:rPr>
                <w:rFonts w:hint="eastAsia"/>
              </w:rPr>
              <w:t>月</w:t>
            </w:r>
            <w:r>
              <w:t xml:space="preserve">      </w:t>
            </w:r>
            <w:r>
              <w:rPr>
                <w:rFonts w:hint="eastAsia"/>
              </w:rPr>
              <w:t>日</w:t>
            </w:r>
          </w:p>
        </w:tc>
      </w:tr>
    </w:tbl>
    <w:p/>
    <w:p>
      <w:pPr>
        <w:snapToGrid w:val="0"/>
        <w:rPr>
          <w:rFonts w:ascii="宋体"/>
          <w:sz w:val="24"/>
          <w:szCs w:val="28"/>
        </w:rPr>
      </w:pPr>
    </w:p>
    <w:p>
      <w:pPr>
        <w:snapToGrid w:val="0"/>
        <w:rPr>
          <w:rFonts w:ascii="宋体"/>
          <w:sz w:val="24"/>
          <w:szCs w:val="28"/>
        </w:rPr>
      </w:pPr>
    </w:p>
    <w:p>
      <w:pPr>
        <w:snapToGrid w:val="0"/>
        <w:rPr>
          <w:rFonts w:ascii="宋体"/>
          <w:b/>
          <w:sz w:val="28"/>
          <w:szCs w:val="28"/>
        </w:rPr>
      </w:pPr>
      <w:r>
        <w:rPr>
          <w:rFonts w:hint="eastAsia" w:ascii="宋体"/>
          <w:b/>
          <w:sz w:val="28"/>
          <w:szCs w:val="28"/>
        </w:rPr>
        <w:t>附件二</w:t>
      </w:r>
    </w:p>
    <w:p>
      <w:pPr>
        <w:snapToGrid w:val="0"/>
        <w:rPr>
          <w:rFonts w:ascii="宋体"/>
          <w:sz w:val="24"/>
          <w:szCs w:val="28"/>
        </w:rPr>
      </w:pPr>
    </w:p>
    <w:p>
      <w:pPr>
        <w:snapToGrid w:val="0"/>
        <w:jc w:val="center"/>
        <w:rPr>
          <w:rFonts w:ascii="黑体" w:eastAsia="黑体"/>
          <w:sz w:val="32"/>
          <w:szCs w:val="32"/>
        </w:rPr>
      </w:pPr>
      <w:r>
        <w:rPr>
          <w:rFonts w:hint="eastAsia" w:ascii="黑体" w:eastAsia="黑体"/>
          <w:sz w:val="32"/>
          <w:szCs w:val="32"/>
        </w:rPr>
        <w:t>内江师范学院学生教学信息员反馈意见表</w:t>
      </w:r>
    </w:p>
    <w:tbl>
      <w:tblPr>
        <w:tblStyle w:val="15"/>
        <w:tblW w:w="90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
        <w:gridCol w:w="1284"/>
        <w:gridCol w:w="900"/>
        <w:gridCol w:w="2309"/>
        <w:gridCol w:w="1083"/>
        <w:gridCol w:w="2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姓 名</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专 业</w:t>
            </w:r>
          </w:p>
          <w:p>
            <w:pPr>
              <w:jc w:val="center"/>
              <w:rPr>
                <w:rFonts w:ascii="宋体" w:hAnsi="宋体"/>
                <w:b/>
                <w:bCs/>
                <w:szCs w:val="21"/>
              </w:rPr>
            </w:pPr>
            <w:r>
              <w:rPr>
                <w:rFonts w:hint="eastAsia" w:ascii="宋体" w:hAnsi="宋体"/>
                <w:b/>
                <w:bCs/>
                <w:szCs w:val="21"/>
              </w:rPr>
              <w:t>班 级</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所在系</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情况</w:t>
            </w:r>
          </w:p>
          <w:p>
            <w:pPr>
              <w:jc w:val="center"/>
              <w:rPr>
                <w:rFonts w:ascii="宋体" w:hAnsi="宋体"/>
                <w:b/>
                <w:bCs/>
                <w:szCs w:val="21"/>
              </w:rPr>
            </w:pPr>
            <w:r>
              <w:rPr>
                <w:rFonts w:hint="eastAsia" w:ascii="宋体" w:hAnsi="宋体"/>
                <w:b/>
                <w:bCs/>
                <w:szCs w:val="21"/>
              </w:rPr>
              <w:t>反映</w:t>
            </w:r>
          </w:p>
          <w:p>
            <w:pPr>
              <w:jc w:val="center"/>
              <w:rPr>
                <w:rFonts w:ascii="宋体" w:hAnsi="宋体"/>
                <w:b/>
                <w:bCs/>
                <w:szCs w:val="21"/>
              </w:rPr>
            </w:pPr>
            <w:r>
              <w:rPr>
                <w:rFonts w:hint="eastAsia" w:ascii="宋体" w:hAnsi="宋体"/>
                <w:b/>
                <w:bCs/>
                <w:szCs w:val="21"/>
              </w:rPr>
              <w:t>及</w:t>
            </w:r>
          </w:p>
          <w:p>
            <w:pPr>
              <w:jc w:val="center"/>
              <w:rPr>
                <w:rFonts w:ascii="宋体" w:hAnsi="宋体"/>
                <w:b/>
                <w:bCs/>
                <w:szCs w:val="21"/>
              </w:rPr>
            </w:pPr>
            <w:r>
              <w:rPr>
                <w:rFonts w:hint="eastAsia" w:ascii="宋体" w:hAnsi="宋体"/>
                <w:b/>
                <w:bCs/>
                <w:szCs w:val="21"/>
              </w:rPr>
              <w:t>存在</w:t>
            </w:r>
          </w:p>
          <w:p>
            <w:pPr>
              <w:jc w:val="center"/>
              <w:rPr>
                <w:rFonts w:ascii="宋体" w:hAnsi="宋体"/>
                <w:b/>
                <w:bCs/>
                <w:szCs w:val="21"/>
              </w:rPr>
            </w:pPr>
            <w:r>
              <w:rPr>
                <w:rFonts w:hint="eastAsia" w:ascii="宋体" w:hAnsi="宋体"/>
                <w:b/>
                <w:bCs/>
                <w:szCs w:val="21"/>
              </w:rPr>
              <w:t>问题</w:t>
            </w:r>
          </w:p>
        </w:tc>
        <w:tc>
          <w:tcPr>
            <w:tcW w:w="8189" w:type="dxa"/>
            <w:gridSpan w:val="6"/>
            <w:tcBorders>
              <w:top w:val="single" w:color="auto" w:sz="4" w:space="0"/>
              <w:left w:val="single" w:color="auto" w:sz="4" w:space="0"/>
              <w:bottom w:val="single" w:color="auto" w:sz="4" w:space="0"/>
              <w:right w:val="single" w:color="auto" w:sz="4" w:space="0"/>
            </w:tcBorders>
            <w:vAlign w:val="center"/>
          </w:tcPr>
          <w:p>
            <w:pPr>
              <w:jc w:val="center"/>
            </w:pPr>
            <w:r>
              <w:t>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意见</w:t>
            </w:r>
          </w:p>
          <w:p>
            <w:pPr>
              <w:jc w:val="center"/>
              <w:rPr>
                <w:rFonts w:ascii="宋体" w:hAnsi="宋体"/>
                <w:b/>
                <w:bCs/>
                <w:szCs w:val="21"/>
              </w:rPr>
            </w:pPr>
            <w:r>
              <w:rPr>
                <w:rFonts w:hint="eastAsia" w:ascii="宋体" w:hAnsi="宋体"/>
                <w:b/>
                <w:bCs/>
                <w:szCs w:val="21"/>
              </w:rPr>
              <w:t>及</w:t>
            </w:r>
          </w:p>
          <w:p>
            <w:pPr>
              <w:jc w:val="center"/>
              <w:rPr>
                <w:rFonts w:ascii="宋体" w:hAnsi="宋体"/>
                <w:b/>
                <w:bCs/>
                <w:szCs w:val="21"/>
              </w:rPr>
            </w:pPr>
            <w:r>
              <w:rPr>
                <w:rFonts w:hint="eastAsia" w:ascii="宋体" w:hAnsi="宋体"/>
                <w:b/>
                <w:bCs/>
                <w:szCs w:val="21"/>
              </w:rPr>
              <w:t>建议</w:t>
            </w:r>
          </w:p>
        </w:tc>
        <w:tc>
          <w:tcPr>
            <w:tcW w:w="818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 </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908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联系方式：                                                         年   月   日</w:t>
            </w:r>
          </w:p>
        </w:tc>
      </w:tr>
    </w:tbl>
    <w:p>
      <w:pPr>
        <w:snapToGrid w:val="0"/>
        <w:rPr>
          <w:rFonts w:ascii="宋体" w:hAnsi="宋体"/>
          <w:szCs w:val="21"/>
        </w:rPr>
      </w:pPr>
      <w:r>
        <w:rPr>
          <w:rFonts w:hint="eastAsia" w:ascii="仿宋_GB2312" w:eastAsia="仿宋_GB2312"/>
          <w:sz w:val="24"/>
        </w:rPr>
        <w:t> </w:t>
      </w:r>
      <w:r>
        <w:rPr>
          <w:rFonts w:hint="eastAsia" w:ascii="黑体" w:eastAsia="黑体"/>
          <w:szCs w:val="28"/>
        </w:rPr>
        <w:t xml:space="preserve">  </w:t>
      </w:r>
      <w:r>
        <w:rPr>
          <w:rFonts w:hint="eastAsia" w:ascii="宋体" w:hAnsi="宋体"/>
          <w:szCs w:val="21"/>
        </w:rPr>
        <w:t>注：</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反馈内容：对教学计划、课堂教学（教学内容、教学方法及手段）、教学管理及条件（如教室、实验室等）、教学评价、教师队伍等教学和教学管理工作以及学生的听课、实验、实习、作业、考试等学习状况及时提出意见和建议。</w:t>
      </w:r>
    </w:p>
    <w:p>
      <w:pPr>
        <w:snapToGrid w:val="0"/>
        <w:spacing w:line="300" w:lineRule="exact"/>
        <w:ind w:firstLine="630" w:firstLineChars="300"/>
        <w:rPr>
          <w:rFonts w:ascii="黑体" w:eastAsia="黑体"/>
          <w:szCs w:val="28"/>
        </w:rPr>
      </w:pPr>
      <w:r>
        <w:rPr>
          <w:rFonts w:ascii="黑体" w:eastAsia="黑体"/>
          <w:szCs w:val="28"/>
        </w:rPr>
        <w:fldChar w:fldCharType="begin"/>
      </w:r>
      <w:r>
        <w:rPr>
          <w:rFonts w:ascii="黑体" w:eastAsia="黑体"/>
          <w:szCs w:val="28"/>
        </w:rPr>
        <w:instrText xml:space="preserve"> = 2 \* GB3 </w:instrText>
      </w:r>
      <w:r>
        <w:rPr>
          <w:rFonts w:ascii="黑体" w:eastAsia="黑体"/>
          <w:szCs w:val="28"/>
        </w:rPr>
        <w:fldChar w:fldCharType="separate"/>
      </w:r>
      <w:r>
        <w:rPr>
          <w:rFonts w:hint="eastAsia" w:ascii="黑体" w:eastAsia="黑体"/>
          <w:szCs w:val="28"/>
        </w:rPr>
        <w:t>②</w:t>
      </w:r>
      <w:r>
        <w:rPr>
          <w:rFonts w:ascii="黑体" w:eastAsia="黑体"/>
          <w:szCs w:val="28"/>
        </w:rPr>
        <w:fldChar w:fldCharType="end"/>
      </w:r>
      <w:r>
        <w:rPr>
          <w:rFonts w:hint="eastAsia" w:ascii="宋体" w:hAnsi="宋体"/>
          <w:szCs w:val="21"/>
        </w:rPr>
        <w:t>请您将此意见表交教学信息中心或发电子邮件至教学信息中心信箱。</w:t>
      </w:r>
    </w:p>
    <w:p/>
    <w:p>
      <w:pPr>
        <w:spacing w:line="560" w:lineRule="exact"/>
        <w:jc w:val="center"/>
        <w:rPr>
          <w:rFonts w:cs="Times New Roman" w:asciiTheme="majorEastAsia" w:hAnsiTheme="majorEastAsia" w:eastAsiaTheme="majorEastAsia"/>
          <w:b/>
          <w:spacing w:val="-8"/>
          <w:w w:val="80"/>
          <w:sz w:val="32"/>
          <w:szCs w:val="32"/>
        </w:rPr>
      </w:pPr>
      <w:r>
        <w:rPr>
          <w:rFonts w:hint="eastAsia" w:cs="Times New Roman" w:asciiTheme="majorEastAsia" w:hAnsiTheme="majorEastAsia" w:eastAsiaTheme="majorEastAsia"/>
          <w:b/>
          <w:spacing w:val="-8"/>
          <w:w w:val="80"/>
          <w:sz w:val="32"/>
          <w:szCs w:val="32"/>
        </w:rPr>
        <w:t>内江师范学院教学责任事故认定与处理办法（修订）</w:t>
      </w:r>
    </w:p>
    <w:p>
      <w:pPr>
        <w:widowControl/>
        <w:shd w:val="clear" w:color="auto" w:fill="FFFFFF"/>
        <w:spacing w:line="560" w:lineRule="exact"/>
        <w:ind w:firstLine="562" w:firstLineChars="200"/>
        <w:jc w:val="center"/>
        <w:outlineLvl w:val="0"/>
        <w:rPr>
          <w:rFonts w:cs="Times New Roman" w:asciiTheme="majorEastAsia" w:hAnsiTheme="majorEastAsia" w:eastAsiaTheme="majorEastAsia"/>
          <w:b/>
          <w:sz w:val="28"/>
          <w:szCs w:val="28"/>
          <w:lang w:val="en-GB"/>
        </w:rPr>
      </w:pPr>
      <w:r>
        <w:rPr>
          <w:rFonts w:hint="eastAsia" w:cs="Times New Roman" w:asciiTheme="majorEastAsia" w:hAnsiTheme="majorEastAsia" w:eastAsiaTheme="majorEastAsia"/>
          <w:b/>
          <w:sz w:val="28"/>
          <w:szCs w:val="28"/>
          <w:lang w:val="en-GB"/>
        </w:rPr>
        <w:t>内师院发〔2014〕34号</w:t>
      </w:r>
    </w:p>
    <w:p>
      <w:pPr>
        <w:widowControl/>
        <w:shd w:val="clear" w:color="auto" w:fill="FFFFFF"/>
        <w:spacing w:line="560" w:lineRule="exact"/>
        <w:jc w:val="left"/>
        <w:outlineLvl w:val="0"/>
        <w:rPr>
          <w:rFonts w:ascii="宋体" w:hAnsi="宋体" w:eastAsia="宋体" w:cs="Times New Roman"/>
          <w:sz w:val="28"/>
          <w:szCs w:val="28"/>
          <w:lang w:val="en-GB"/>
        </w:rPr>
      </w:pP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为规范教学管理，严肃教学纪律，保障正常的教学秩序，提高人才培养质量，特制定本办法。</w:t>
      </w:r>
    </w:p>
    <w:p>
      <w:pPr>
        <w:spacing w:line="360" w:lineRule="auto"/>
        <w:ind w:firstLine="482" w:firstLineChars="200"/>
        <w:rPr>
          <w:rFonts w:cs="Times New Roman" w:asciiTheme="minorEastAsia" w:hAnsiTheme="minorEastAsia"/>
          <w:b/>
          <w:sz w:val="24"/>
          <w:szCs w:val="24"/>
          <w:lang w:val="en-GB"/>
        </w:rPr>
      </w:pPr>
      <w:r>
        <w:rPr>
          <w:rFonts w:hint="eastAsia" w:cs="Times New Roman" w:asciiTheme="minorEastAsia" w:hAnsiTheme="minorEastAsia"/>
          <w:b/>
          <w:sz w:val="24"/>
          <w:szCs w:val="24"/>
          <w:lang w:val="en-GB"/>
        </w:rPr>
        <w:t>一、教学责任事故的分类与级别</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kern w:val="36"/>
          <w:sz w:val="24"/>
          <w:szCs w:val="24"/>
          <w:lang w:val="en-GB"/>
        </w:rPr>
        <w:t>教学责任事故是指教师及教辅人员、教学管理人员等在教学过程中发生的影响正常教学秩序、教学进程和教学质量的行为或事件</w:t>
      </w:r>
      <w:r>
        <w:rPr>
          <w:rFonts w:hint="eastAsia" w:cs="Times New Roman" w:asciiTheme="minorEastAsia" w:hAnsiTheme="minorEastAsia"/>
          <w:sz w:val="24"/>
          <w:szCs w:val="24"/>
          <w:lang w:val="en-GB"/>
        </w:rPr>
        <w:t>。根据教学与管理的不同环节，分为课堂教学类（A类）、实践教学类（B类）、教学管理类（C类）三类（附件1）。根据事故性质和所造成的后果分为三个级别：重大教学责任事故（一级）、严重教学责任事故（二级）、一般教学责任事故（三级）。</w:t>
      </w:r>
    </w:p>
    <w:p>
      <w:pPr>
        <w:spacing w:line="360" w:lineRule="auto"/>
        <w:ind w:firstLine="482" w:firstLineChars="200"/>
        <w:rPr>
          <w:rFonts w:cs="Times New Roman" w:asciiTheme="minorEastAsia" w:hAnsiTheme="minorEastAsia"/>
          <w:b/>
          <w:sz w:val="24"/>
          <w:szCs w:val="24"/>
          <w:lang w:val="en-GB"/>
        </w:rPr>
      </w:pPr>
      <w:r>
        <w:rPr>
          <w:rFonts w:hint="eastAsia" w:cs="Times New Roman" w:asciiTheme="minorEastAsia" w:hAnsiTheme="minorEastAsia"/>
          <w:b/>
          <w:sz w:val="24"/>
          <w:szCs w:val="24"/>
          <w:lang w:val="en-GB"/>
        </w:rPr>
        <w:t>二、教学责任事故的认定与处理程序</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1. 教学责任事故实行督查和举报制度。教学责任事故查出或举报后，由责任人所在单位负责核查。当事人要配合核查，并写出书面材料，可对事故情况作出解释说明，对个人责任进行明确界定或申诉申辩。</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2. 一级、二级教学责任事故由事故责任人所在单位填写《内江师范学院教学责任事故认定处理表》，依据本办法相关规定提出建议处理意见；由教务处牵头，相关部门参与组成事故调查小组，会同事故责任人所在单位，复查核实事故情况和建议处理意见，报校长办公会研究决定。</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3. 三级教学责任事故由事故责任人所在单位填写《内江师范学院教学责任事故认定处理表》（附件2），依据本办法相关规定提出处理意见，报教务处、人事处备案。</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4. 教学责任事故一经认定，由相关职能部门代表学校实施处理决定，并在5个工作日内以书面形式将处理决定送达事故责任单位和责任人。</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5. 教学责任事故在15个工作日内作出处理。情节较严重的，在30个工作日内作出处理。</w:t>
      </w:r>
    </w:p>
    <w:p>
      <w:pPr>
        <w:spacing w:line="360" w:lineRule="auto"/>
        <w:ind w:firstLine="482" w:firstLineChars="200"/>
        <w:rPr>
          <w:rFonts w:cs="Times New Roman" w:asciiTheme="minorEastAsia" w:hAnsiTheme="minorEastAsia"/>
          <w:b/>
          <w:sz w:val="24"/>
          <w:szCs w:val="24"/>
          <w:lang w:val="en-GB"/>
        </w:rPr>
      </w:pPr>
      <w:r>
        <w:rPr>
          <w:rFonts w:hint="eastAsia" w:cs="Times New Roman" w:asciiTheme="minorEastAsia" w:hAnsiTheme="minorEastAsia"/>
          <w:b/>
          <w:sz w:val="24"/>
          <w:szCs w:val="24"/>
          <w:lang w:val="en-GB"/>
        </w:rPr>
        <w:t>三、教学责任事故的处理</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教学责任事故一经核定，视事故级别和情节轻重，结合国家人力资源和社会保障部、监察部《事业单位工作人员处分暂行规定》等相关规定，分别给予以下处理：</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（一）一级教学责任事故的处理</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1. 给予记过直至开除公职的行政处分，并在全校通报；</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2. 本年度考核不合格，处理按《内江师范学院教职工考核条例》的规定执行；</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3. 自事故认定之日起两年内取消各类评优和申报高一级技术职务的资格；</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4. 根据情节轻重，对当事人岗位进行调整。</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（二）二级教学责任事故的处理</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1. 给予警告或记过的行政处分，并在全校通报；</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2. 扣除当事人绩效工资1000元；</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3. 自事故认定之日起一年内取消各类评优和申报高一级技术职务的资格。</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（三）三级教学责任事故的处理</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1. 在事故责任人所在单位通报批评；</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2. 扣除当事人绩效工资500元；</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3. 自事故认定之日起一年内取消各类评优资格。</w:t>
      </w:r>
    </w:p>
    <w:p>
      <w:pPr>
        <w:spacing w:line="360" w:lineRule="auto"/>
        <w:ind w:firstLine="482" w:firstLineChars="200"/>
        <w:rPr>
          <w:rFonts w:cs="Times New Roman" w:asciiTheme="minorEastAsia" w:hAnsiTheme="minorEastAsia"/>
          <w:b/>
          <w:sz w:val="24"/>
          <w:szCs w:val="24"/>
          <w:lang w:val="en-GB"/>
        </w:rPr>
      </w:pPr>
      <w:r>
        <w:rPr>
          <w:rFonts w:hint="eastAsia" w:cs="Times New Roman" w:asciiTheme="minorEastAsia" w:hAnsiTheme="minorEastAsia"/>
          <w:b/>
          <w:sz w:val="24"/>
          <w:szCs w:val="24"/>
          <w:lang w:val="en-GB"/>
        </w:rPr>
        <w:t>四、教学责任事故的申诉</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校内各部门（单位）或个人，若对认定的教学责任事故事实、认定处理程序或处理结果有异议的，可以依照《内江师范学院责任事故争议申诉受理办法》向学校申诉受理委员会提出书面申诉。</w:t>
      </w:r>
    </w:p>
    <w:p>
      <w:pPr>
        <w:spacing w:line="360" w:lineRule="auto"/>
        <w:ind w:firstLine="482" w:firstLineChars="200"/>
        <w:rPr>
          <w:rFonts w:cs="Times New Roman" w:asciiTheme="minorEastAsia" w:hAnsiTheme="minorEastAsia"/>
          <w:b/>
          <w:sz w:val="24"/>
          <w:szCs w:val="24"/>
          <w:lang w:val="en-GB"/>
        </w:rPr>
      </w:pPr>
      <w:r>
        <w:rPr>
          <w:rFonts w:hint="eastAsia" w:cs="Times New Roman" w:asciiTheme="minorEastAsia" w:hAnsiTheme="minorEastAsia"/>
          <w:b/>
          <w:sz w:val="24"/>
          <w:szCs w:val="24"/>
          <w:lang w:val="en-GB"/>
        </w:rPr>
        <w:t>五、附则</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本办法适用于全校在编在岗教职工（含人事代理人员），外聘教师参照执行。原《内江师范学院教学事故认定与处理办法》（内师教字〔2007〕70号）文件同时废止。本办法自发布之日起实施，由教务处负责解释。</w:t>
      </w:r>
    </w:p>
    <w:p>
      <w:pPr>
        <w:widowControl/>
        <w:shd w:val="clear" w:color="auto" w:fill="FFFFFF"/>
        <w:spacing w:line="360" w:lineRule="auto"/>
        <w:ind w:firstLine="480" w:firstLineChars="2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附件：1. 内江师范学院教学责任事故分类与级别</w:t>
      </w:r>
    </w:p>
    <w:p>
      <w:pPr>
        <w:widowControl/>
        <w:shd w:val="clear" w:color="auto" w:fill="FFFFFF"/>
        <w:spacing w:line="360" w:lineRule="auto"/>
        <w:ind w:firstLine="1200" w:firstLineChars="500"/>
        <w:jc w:val="left"/>
        <w:outlineLvl w:val="0"/>
        <w:rPr>
          <w:rFonts w:cs="Times New Roman" w:asciiTheme="minorEastAsia" w:hAnsiTheme="minorEastAsia"/>
          <w:sz w:val="24"/>
          <w:szCs w:val="24"/>
          <w:lang w:val="en-GB"/>
        </w:rPr>
      </w:pPr>
      <w:r>
        <w:rPr>
          <w:rFonts w:hint="eastAsia" w:cs="Times New Roman" w:asciiTheme="minorEastAsia" w:hAnsiTheme="minorEastAsia"/>
          <w:sz w:val="24"/>
          <w:szCs w:val="24"/>
          <w:lang w:val="en-GB"/>
        </w:rPr>
        <w:t>2. 内江师范学院教学责任事故认定处理表</w:t>
      </w:r>
    </w:p>
    <w:p>
      <w:pPr>
        <w:spacing w:line="360" w:lineRule="auto"/>
        <w:rPr>
          <w:rFonts w:cs="Times New Roman" w:asciiTheme="minorEastAsia" w:hAnsiTheme="minorEastAsia"/>
          <w:sz w:val="24"/>
          <w:szCs w:val="24"/>
        </w:rPr>
      </w:pPr>
    </w:p>
    <w:p>
      <w:pPr>
        <w:spacing w:line="360" w:lineRule="auto"/>
        <w:jc w:val="right"/>
        <w:rPr>
          <w:rFonts w:cs="Times New Roman" w:asciiTheme="minorEastAsia" w:hAnsiTheme="minorEastAsia"/>
          <w:sz w:val="24"/>
          <w:szCs w:val="24"/>
        </w:rPr>
      </w:pPr>
      <w:r>
        <w:rPr>
          <w:rFonts w:hint="eastAsia" w:cs="Times New Roman" w:asciiTheme="minorEastAsia" w:hAnsiTheme="minorEastAsia"/>
          <w:sz w:val="24"/>
          <w:szCs w:val="24"/>
        </w:rPr>
        <w:t>2014年5月5日</w:t>
      </w:r>
    </w:p>
    <w:p>
      <w:pPr>
        <w:spacing w:line="500" w:lineRule="exact"/>
        <w:rPr>
          <w:rFonts w:ascii="黑体" w:hAnsi="宋体" w:eastAsia="黑体" w:cs="Times New Roman"/>
          <w:sz w:val="28"/>
          <w:szCs w:val="28"/>
        </w:rPr>
      </w:pPr>
    </w:p>
    <w:p>
      <w:pPr>
        <w:spacing w:line="500" w:lineRule="exact"/>
        <w:rPr>
          <w:rFonts w:ascii="黑体" w:hAnsi="宋体" w:eastAsia="黑体" w:cs="Times New Roman"/>
          <w:sz w:val="28"/>
          <w:szCs w:val="28"/>
        </w:rPr>
      </w:pPr>
    </w:p>
    <w:p>
      <w:pPr>
        <w:spacing w:line="500" w:lineRule="exact"/>
        <w:rPr>
          <w:rFonts w:ascii="黑体" w:hAnsi="宋体" w:eastAsia="黑体" w:cs="Times New Roman"/>
          <w:sz w:val="28"/>
          <w:szCs w:val="28"/>
        </w:rPr>
      </w:pPr>
    </w:p>
    <w:p>
      <w:pPr>
        <w:spacing w:line="500" w:lineRule="exact"/>
        <w:rPr>
          <w:rFonts w:ascii="黑体" w:hAnsi="宋体" w:eastAsia="黑体" w:cs="Times New Roman"/>
          <w:sz w:val="28"/>
          <w:szCs w:val="28"/>
        </w:rPr>
      </w:pPr>
    </w:p>
    <w:p>
      <w:pPr>
        <w:spacing w:line="500" w:lineRule="exact"/>
        <w:rPr>
          <w:rFonts w:ascii="黑体" w:hAnsi="宋体" w:eastAsia="黑体" w:cs="Times New Roman"/>
          <w:sz w:val="28"/>
          <w:szCs w:val="28"/>
        </w:rPr>
      </w:pPr>
    </w:p>
    <w:p>
      <w:pPr>
        <w:spacing w:line="500" w:lineRule="exact"/>
        <w:rPr>
          <w:rFonts w:ascii="黑体" w:hAnsi="宋体" w:eastAsia="黑体" w:cs="Times New Roman"/>
          <w:b/>
          <w:sz w:val="28"/>
          <w:szCs w:val="28"/>
        </w:rPr>
      </w:pPr>
      <w:r>
        <w:rPr>
          <w:rFonts w:hint="eastAsia" w:ascii="黑体" w:hAnsi="宋体" w:eastAsia="黑体" w:cs="Times New Roman"/>
          <w:b/>
          <w:sz w:val="28"/>
          <w:szCs w:val="28"/>
        </w:rPr>
        <w:t>附件1</w:t>
      </w:r>
    </w:p>
    <w:p>
      <w:pPr>
        <w:spacing w:line="500" w:lineRule="exact"/>
        <w:rPr>
          <w:rFonts w:ascii="黑体" w:hAnsi="宋体" w:eastAsia="黑体" w:cs="Times New Roman"/>
          <w:sz w:val="28"/>
          <w:szCs w:val="28"/>
        </w:rPr>
      </w:pPr>
    </w:p>
    <w:p>
      <w:pPr>
        <w:spacing w:line="500" w:lineRule="exact"/>
        <w:jc w:val="center"/>
        <w:rPr>
          <w:rFonts w:ascii="黑体" w:hAnsi="宋体" w:eastAsia="黑体" w:cs="Times New Roman"/>
          <w:b/>
          <w:sz w:val="32"/>
          <w:szCs w:val="32"/>
        </w:rPr>
      </w:pPr>
      <w:r>
        <w:rPr>
          <w:rFonts w:hint="eastAsia" w:ascii="黑体" w:hAnsi="宋体" w:eastAsia="黑体" w:cs="Times New Roman"/>
          <w:b/>
          <w:sz w:val="32"/>
          <w:szCs w:val="32"/>
        </w:rPr>
        <w:t>内江师范学院教学责任事故分类与级别</w:t>
      </w:r>
    </w:p>
    <w:p>
      <w:pPr>
        <w:numPr>
          <w:ilvl w:val="0"/>
          <w:numId w:val="5"/>
        </w:numPr>
        <w:spacing w:before="156" w:beforeLines="50" w:after="156" w:afterLines="50" w:line="500" w:lineRule="exact"/>
        <w:ind w:left="1033" w:hanging="1033" w:hangingChars="343"/>
        <w:rPr>
          <w:rFonts w:ascii="宋体" w:hAnsi="宋体" w:eastAsia="长城仿宋体" w:cs="Times New Roman"/>
          <w:b/>
          <w:bCs/>
          <w:sz w:val="30"/>
          <w:szCs w:val="30"/>
        </w:rPr>
      </w:pPr>
      <w:r>
        <w:rPr>
          <w:rFonts w:hint="eastAsia" w:ascii="宋体" w:hAnsi="宋体" w:eastAsia="长城仿宋体" w:cs="Times New Roman"/>
          <w:b/>
          <w:bCs/>
          <w:sz w:val="30"/>
          <w:szCs w:val="30"/>
        </w:rPr>
        <w:t>课堂教学类（A类）</w:t>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序号</w:t>
            </w:r>
          </w:p>
        </w:tc>
        <w:tc>
          <w:tcPr>
            <w:tcW w:w="7073"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事    故</w:t>
            </w:r>
          </w:p>
        </w:tc>
        <w:tc>
          <w:tcPr>
            <w:tcW w:w="1080"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A1</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在教学活动中，违反宪法、法律法规或教师职业道德规范，散布有损国家利益和不利于学生健康成长的言论或出现有损国家利益和不利于学生健康成长的行为。</w:t>
            </w:r>
            <w:r>
              <w:rPr>
                <w:rFonts w:hint="eastAsia" w:ascii="楷体_GB2312" w:hAnsi="宋体" w:eastAsia="楷体_GB2312" w:cs="Times New Roman"/>
                <w:sz w:val="24"/>
                <w:szCs w:val="20"/>
              </w:rPr>
              <w:fldChar w:fldCharType="begin"/>
            </w:r>
            <w:r>
              <w:rPr>
                <w:rFonts w:hint="eastAsia" w:ascii="楷体_GB2312" w:hAnsi="宋体" w:eastAsia="楷体_GB2312" w:cs="Times New Roman"/>
                <w:sz w:val="24"/>
                <w:szCs w:val="20"/>
              </w:rPr>
              <w:instrText xml:space="preserve"> =AVERAGE(LEFT) \# "#,##0" </w:instrText>
            </w:r>
            <w:r>
              <w:rPr>
                <w:rFonts w:hint="eastAsia" w:ascii="楷体_GB2312" w:hAnsi="宋体" w:eastAsia="楷体_GB2312" w:cs="Times New Roman"/>
                <w:sz w:val="24"/>
                <w:szCs w:val="20"/>
              </w:rPr>
              <w:fldChar w:fldCharType="end"/>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A2</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无故缺课、停课。</w:t>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A3</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辱骂学生或对学生实行体罚。</w:t>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A4</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无紧急情况，课堂教学过程中接打手机。</w:t>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A5</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未经批准调课（或请人代课）。</w:t>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7"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A6</w:t>
            </w:r>
          </w:p>
        </w:tc>
        <w:tc>
          <w:tcPr>
            <w:tcW w:w="7073" w:type="dxa"/>
            <w:vAlign w:val="center"/>
          </w:tcPr>
          <w:p>
            <w:pPr>
              <w:rPr>
                <w:rFonts w:ascii="楷体_GB2312" w:hAnsi="宋体" w:eastAsia="楷体_GB2312" w:cs="Times New Roman"/>
                <w:sz w:val="24"/>
                <w:szCs w:val="20"/>
              </w:rPr>
            </w:pPr>
            <w:r>
              <w:rPr>
                <w:rFonts w:hint="eastAsia" w:ascii="楷体_GB2312" w:hAnsi="宋体" w:eastAsia="楷体_GB2312" w:cs="Times New Roman"/>
                <w:sz w:val="24"/>
                <w:szCs w:val="20"/>
              </w:rPr>
              <w:t>无故上课迟到、提前下课、中途离岗。</w:t>
            </w:r>
          </w:p>
        </w:tc>
        <w:tc>
          <w:tcPr>
            <w:tcW w:w="1080"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bl>
    <w:p>
      <w:pPr>
        <w:tabs>
          <w:tab w:val="left" w:pos="2715"/>
        </w:tabs>
        <w:spacing w:line="500" w:lineRule="exact"/>
        <w:rPr>
          <w:rFonts w:ascii="宋体" w:hAnsi="宋体" w:eastAsia="长城仿宋体" w:cs="Times New Roman"/>
          <w:b/>
          <w:bCs/>
          <w:sz w:val="30"/>
          <w:szCs w:val="30"/>
        </w:rPr>
      </w:pPr>
      <w:r>
        <w:rPr>
          <w:rFonts w:hint="eastAsia" w:ascii="宋体" w:hAnsi="宋体" w:eastAsia="长城仿宋体" w:cs="Times New Roman"/>
          <w:b/>
          <w:bCs/>
          <w:sz w:val="30"/>
          <w:szCs w:val="30"/>
        </w:rPr>
        <w:t>二、实践教学类（B类）</w:t>
      </w:r>
      <w:r>
        <w:rPr>
          <w:rFonts w:ascii="宋体" w:hAnsi="宋体" w:eastAsia="长城仿宋体" w:cs="Times New Roman"/>
          <w:b/>
          <w:bCs/>
          <w:sz w:val="30"/>
          <w:szCs w:val="30"/>
        </w:rPr>
        <w:tab/>
      </w:r>
    </w:p>
    <w:tbl>
      <w:tblPr>
        <w:tblStyle w:val="15"/>
        <w:tblpPr w:leftFromText="180" w:rightFromText="180" w:vertAnchor="text" w:horzAnchor="margin" w:tblpY="25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59"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序号</w:t>
            </w:r>
          </w:p>
        </w:tc>
        <w:tc>
          <w:tcPr>
            <w:tcW w:w="6946"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事    故</w:t>
            </w:r>
          </w:p>
        </w:tc>
        <w:tc>
          <w:tcPr>
            <w:tcW w:w="1134"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30"/>
                <w:szCs w:val="30"/>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59"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B1</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因工作不负责任，导致教学过程中出现严重人身伤害。</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59"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B2</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违反操作规程，导致教学仪器设备损失价值在5万元及以上。</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59"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B3</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擅自提前结束实习工作。</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959"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B4</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违反操作规程，导致教学仪器设备损失价值在5000元及以上，5万元以下。</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59"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B5</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违反操作规程，导致教学仪器设备损失价值在800元及以上，5000元以下。</w:t>
            </w:r>
          </w:p>
        </w:tc>
        <w:tc>
          <w:tcPr>
            <w:tcW w:w="1134" w:type="dxa"/>
            <w:vAlign w:val="center"/>
          </w:tcPr>
          <w:p>
            <w:pPr>
              <w:spacing w:line="500" w:lineRule="exact"/>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00" w:lineRule="exact"/>
              <w:jc w:val="center"/>
              <w:rPr>
                <w:rFonts w:ascii="楷体_GB2312" w:hAnsi="宋体" w:eastAsia="楷体_GB2312" w:cs="Times New Roman"/>
                <w:sz w:val="30"/>
                <w:szCs w:val="30"/>
              </w:rPr>
            </w:pPr>
            <w:r>
              <w:rPr>
                <w:rFonts w:hint="eastAsia" w:ascii="楷体_GB2312" w:hAnsi="宋体" w:eastAsia="楷体_GB2312" w:cs="Times New Roman"/>
                <w:sz w:val="24"/>
                <w:szCs w:val="20"/>
              </w:rPr>
              <w:t>B6</w:t>
            </w:r>
          </w:p>
        </w:tc>
        <w:tc>
          <w:tcPr>
            <w:tcW w:w="6946"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擅自变更见习、实训、实习计划或实验内容。</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bl>
    <w:p>
      <w:pPr>
        <w:spacing w:before="156" w:beforeLines="50" w:after="156" w:afterLines="50" w:line="500" w:lineRule="exact"/>
        <w:rPr>
          <w:rFonts w:ascii="宋体" w:hAnsi="宋体" w:eastAsia="长城仿宋体" w:cs="Times New Roman"/>
          <w:b/>
          <w:bCs/>
          <w:sz w:val="30"/>
          <w:szCs w:val="30"/>
        </w:rPr>
      </w:pPr>
    </w:p>
    <w:p>
      <w:pPr>
        <w:spacing w:before="156" w:beforeLines="50" w:after="156" w:afterLines="50" w:line="500" w:lineRule="exact"/>
        <w:rPr>
          <w:rFonts w:ascii="宋体" w:hAnsi="宋体" w:eastAsia="长城仿宋体" w:cs="Times New Roman"/>
          <w:b/>
          <w:bCs/>
          <w:sz w:val="30"/>
          <w:szCs w:val="30"/>
        </w:rPr>
      </w:pPr>
    </w:p>
    <w:p>
      <w:pPr>
        <w:spacing w:before="156" w:beforeLines="50" w:after="156" w:afterLines="50" w:line="500" w:lineRule="exact"/>
        <w:rPr>
          <w:rFonts w:ascii="宋体" w:hAnsi="宋体" w:eastAsia="长城仿宋体" w:cs="Times New Roman"/>
          <w:b/>
          <w:bCs/>
          <w:sz w:val="30"/>
          <w:szCs w:val="30"/>
        </w:rPr>
      </w:pPr>
    </w:p>
    <w:p>
      <w:pPr>
        <w:spacing w:before="156" w:beforeLines="50" w:after="156" w:afterLines="50" w:line="500" w:lineRule="exact"/>
        <w:rPr>
          <w:rFonts w:ascii="宋体" w:hAnsi="宋体" w:eastAsia="长城仿宋体" w:cs="Times New Roman"/>
          <w:b/>
          <w:bCs/>
          <w:sz w:val="30"/>
          <w:szCs w:val="30"/>
        </w:rPr>
      </w:pPr>
      <w:r>
        <w:rPr>
          <w:rFonts w:hint="eastAsia" w:ascii="宋体" w:hAnsi="宋体" w:eastAsia="长城仿宋体" w:cs="Times New Roman"/>
          <w:b/>
          <w:bCs/>
          <w:sz w:val="30"/>
          <w:szCs w:val="30"/>
        </w:rPr>
        <w:t>三、教学管理类（C）</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89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spacing w:line="440" w:lineRule="exact"/>
              <w:jc w:val="center"/>
              <w:rPr>
                <w:rFonts w:ascii="楷体_GB2312" w:hAnsi="宋体" w:eastAsia="楷体_GB2312" w:cs="Times New Roman"/>
                <w:sz w:val="28"/>
                <w:szCs w:val="28"/>
              </w:rPr>
            </w:pPr>
            <w:r>
              <w:rPr>
                <w:rFonts w:hint="eastAsia" w:ascii="楷体_GB2312" w:hAnsi="宋体" w:eastAsia="楷体_GB2312" w:cs="Times New Roman"/>
                <w:sz w:val="28"/>
                <w:szCs w:val="28"/>
              </w:rPr>
              <w:t>序号</w:t>
            </w:r>
          </w:p>
        </w:tc>
        <w:tc>
          <w:tcPr>
            <w:tcW w:w="6897" w:type="dxa"/>
            <w:vAlign w:val="center"/>
          </w:tcPr>
          <w:p>
            <w:pPr>
              <w:spacing w:line="440" w:lineRule="exact"/>
              <w:jc w:val="center"/>
              <w:rPr>
                <w:rFonts w:ascii="楷体_GB2312" w:hAnsi="宋体" w:eastAsia="楷体_GB2312" w:cs="Times New Roman"/>
                <w:sz w:val="28"/>
                <w:szCs w:val="28"/>
              </w:rPr>
            </w:pPr>
            <w:r>
              <w:rPr>
                <w:rFonts w:hint="eastAsia" w:ascii="楷体_GB2312" w:hAnsi="宋体" w:eastAsia="楷体_GB2312" w:cs="Times New Roman"/>
                <w:sz w:val="28"/>
                <w:szCs w:val="28"/>
              </w:rPr>
              <w:t>事    故</w:t>
            </w:r>
          </w:p>
        </w:tc>
        <w:tc>
          <w:tcPr>
            <w:tcW w:w="1134" w:type="dxa"/>
            <w:vAlign w:val="center"/>
          </w:tcPr>
          <w:p>
            <w:pPr>
              <w:spacing w:line="440" w:lineRule="exact"/>
              <w:jc w:val="center"/>
              <w:rPr>
                <w:rFonts w:ascii="楷体_GB2312" w:hAnsi="宋体" w:eastAsia="楷体_GB2312" w:cs="Times New Roman"/>
                <w:sz w:val="28"/>
                <w:szCs w:val="28"/>
              </w:rPr>
            </w:pPr>
            <w:r>
              <w:rPr>
                <w:rFonts w:hint="eastAsia" w:ascii="楷体_GB2312" w:hAnsi="宋体" w:eastAsia="楷体_GB2312" w:cs="Times New Roman"/>
                <w:sz w:val="28"/>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C1</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出具虚假学历、学位等证书、证明。</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C2</w:t>
            </w:r>
          </w:p>
        </w:tc>
        <w:tc>
          <w:tcPr>
            <w:tcW w:w="6897" w:type="dxa"/>
            <w:vAlign w:val="center"/>
          </w:tcPr>
          <w:p>
            <w:pPr>
              <w:jc w:val="left"/>
              <w:rPr>
                <w:rFonts w:ascii="楷体_GB2312" w:hAnsi="宋体" w:eastAsia="楷体_GB2312" w:cs="Times New Roman"/>
                <w:color w:val="FF0000"/>
                <w:sz w:val="24"/>
                <w:szCs w:val="20"/>
              </w:rPr>
            </w:pPr>
            <w:r>
              <w:rPr>
                <w:rFonts w:hint="eastAsia" w:ascii="楷体_GB2312" w:hAnsi="宋体" w:eastAsia="楷体_GB2312" w:cs="Times New Roman"/>
                <w:sz w:val="24"/>
                <w:szCs w:val="20"/>
              </w:rPr>
              <w:t>组织、参与学生作弊。</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C3</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故意泄露试题。</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spacing w:line="500" w:lineRule="exact"/>
              <w:jc w:val="center"/>
              <w:rPr>
                <w:rFonts w:ascii="楷体_GB2312" w:hAnsi="宋体" w:eastAsia="楷体_GB2312" w:cs="Times New Roman"/>
                <w:color w:val="000000"/>
                <w:sz w:val="24"/>
                <w:szCs w:val="20"/>
              </w:rPr>
            </w:pPr>
            <w:r>
              <w:rPr>
                <w:rFonts w:hint="eastAsia" w:ascii="楷体_GB2312" w:hAnsi="宋体" w:eastAsia="楷体_GB2312" w:cs="Times New Roman"/>
                <w:color w:val="000000"/>
                <w:sz w:val="24"/>
                <w:szCs w:val="20"/>
              </w:rPr>
              <w:t>C4</w:t>
            </w:r>
          </w:p>
        </w:tc>
        <w:tc>
          <w:tcPr>
            <w:tcW w:w="6897" w:type="dxa"/>
            <w:vAlign w:val="center"/>
          </w:tcPr>
          <w:p>
            <w:pPr>
              <w:jc w:val="left"/>
              <w:rPr>
                <w:rFonts w:ascii="楷体_GB2312" w:hAnsi="宋体" w:eastAsia="楷体_GB2312" w:cs="Times New Roman"/>
                <w:color w:val="000000"/>
                <w:sz w:val="24"/>
                <w:szCs w:val="20"/>
              </w:rPr>
            </w:pPr>
            <w:r>
              <w:rPr>
                <w:rFonts w:hint="eastAsia" w:ascii="楷体_GB2312" w:hAnsi="宋体" w:eastAsia="楷体_GB2312" w:cs="Times New Roman"/>
                <w:color w:val="000000"/>
                <w:sz w:val="24"/>
                <w:szCs w:val="20"/>
              </w:rPr>
              <w:t>因工作不负责任，导致学生成绩、试卷及其他重要教学文件损毁且无法恢复。</w:t>
            </w:r>
          </w:p>
        </w:tc>
        <w:tc>
          <w:tcPr>
            <w:tcW w:w="1134" w:type="dxa"/>
            <w:vAlign w:val="center"/>
          </w:tcPr>
          <w:p>
            <w:pPr>
              <w:spacing w:line="500" w:lineRule="exact"/>
              <w:jc w:val="center"/>
              <w:rPr>
                <w:rFonts w:ascii="楷体_GB2312" w:hAnsi="宋体" w:eastAsia="楷体_GB2312" w:cs="Times New Roman"/>
                <w:color w:val="000000"/>
                <w:sz w:val="24"/>
                <w:szCs w:val="20"/>
              </w:rPr>
            </w:pPr>
            <w:r>
              <w:rPr>
                <w:rFonts w:hint="eastAsia" w:ascii="楷体_GB2312" w:hAnsi="宋体" w:eastAsia="楷体_GB2312" w:cs="Times New Roman"/>
                <w:color w:val="000000"/>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C5</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监考人员无故缺席。</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C6</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违反规定更改学生学籍、成绩及学历信息。</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C7</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违反规定</w:t>
            </w:r>
            <w:r>
              <w:rPr>
                <w:rFonts w:hint="eastAsia" w:ascii="楷体_GB2312" w:hAnsi="宋体" w:eastAsia="楷体_GB2312" w:cs="Times New Roman"/>
                <w:sz w:val="24"/>
                <w:szCs w:val="20"/>
              </w:rPr>
              <w:fldChar w:fldCharType="begin"/>
            </w:r>
            <w:r>
              <w:rPr>
                <w:rFonts w:hint="eastAsia" w:ascii="楷体_GB2312" w:hAnsi="宋体" w:eastAsia="楷体_GB2312" w:cs="Times New Roman"/>
                <w:sz w:val="24"/>
                <w:szCs w:val="20"/>
              </w:rPr>
              <w:instrText xml:space="preserve"> =AVERAGE(LEFT) \# "#,##0" </w:instrText>
            </w:r>
            <w:r>
              <w:rPr>
                <w:rFonts w:hint="eastAsia" w:ascii="楷体_GB2312" w:hAnsi="宋体" w:eastAsia="楷体_GB2312" w:cs="Times New Roman"/>
                <w:sz w:val="24"/>
                <w:szCs w:val="20"/>
              </w:rPr>
              <w:fldChar w:fldCharType="end"/>
            </w:r>
            <w:r>
              <w:rPr>
                <w:rFonts w:hint="eastAsia" w:ascii="楷体_GB2312" w:hAnsi="宋体" w:eastAsia="楷体_GB2312" w:cs="Times New Roman"/>
                <w:sz w:val="24"/>
                <w:szCs w:val="20"/>
              </w:rPr>
              <w:t>出具学籍、成绩等各类证明。</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C8</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无故监考迟到、离岗。</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C9</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因试题错误造成考试延误、中断或无效</w:t>
            </w:r>
            <w:r>
              <w:rPr>
                <w:rFonts w:hint="eastAsia" w:ascii="楷体_GB2312" w:hAnsi="宋体" w:eastAsia="楷体_GB2312" w:cs="Times New Roman"/>
                <w:sz w:val="24"/>
                <w:szCs w:val="20"/>
              </w:rPr>
              <w:fldChar w:fldCharType="begin"/>
            </w:r>
            <w:r>
              <w:rPr>
                <w:rFonts w:hint="eastAsia" w:ascii="楷体_GB2312" w:hAnsi="宋体" w:eastAsia="楷体_GB2312" w:cs="Times New Roman"/>
                <w:sz w:val="24"/>
                <w:szCs w:val="20"/>
              </w:rPr>
              <w:instrText xml:space="preserve"> =AVERAGE(LEFT) \# "#,##0" </w:instrText>
            </w:r>
            <w:r>
              <w:rPr>
                <w:rFonts w:hint="eastAsia" w:ascii="楷体_GB2312" w:hAnsi="宋体" w:eastAsia="楷体_GB2312" w:cs="Times New Roman"/>
                <w:sz w:val="24"/>
                <w:szCs w:val="20"/>
              </w:rPr>
              <w:fldChar w:fldCharType="end"/>
            </w:r>
            <w:r>
              <w:rPr>
                <w:rFonts w:hint="eastAsia" w:ascii="楷体_GB2312" w:hAnsi="宋体" w:eastAsia="楷体_GB2312" w:cs="Times New Roman"/>
                <w:sz w:val="24"/>
                <w:szCs w:val="20"/>
              </w:rPr>
              <w:t>。</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C10</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无故遗失学生试（答）卷。</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C11</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因工作失误导致试题泄密。</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008"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C12</w:t>
            </w:r>
          </w:p>
        </w:tc>
        <w:tc>
          <w:tcPr>
            <w:tcW w:w="6897" w:type="dxa"/>
            <w:vAlign w:val="center"/>
          </w:tcPr>
          <w:p>
            <w:pPr>
              <w:jc w:val="left"/>
              <w:rPr>
                <w:rFonts w:ascii="楷体_GB2312" w:hAnsi="宋体" w:eastAsia="楷体_GB2312" w:cs="Times New Roman"/>
                <w:sz w:val="24"/>
                <w:szCs w:val="20"/>
              </w:rPr>
            </w:pPr>
            <w:r>
              <w:rPr>
                <w:rFonts w:hint="eastAsia" w:ascii="楷体_GB2312" w:hAnsi="宋体" w:eastAsia="楷体_GB2312" w:cs="Times New Roman"/>
                <w:sz w:val="24"/>
                <w:szCs w:val="20"/>
              </w:rPr>
              <w:t>故意隐瞒不报教学责任事故。</w:t>
            </w:r>
          </w:p>
        </w:tc>
        <w:tc>
          <w:tcPr>
            <w:tcW w:w="1134" w:type="dxa"/>
            <w:vAlign w:val="center"/>
          </w:tcPr>
          <w:p>
            <w:pPr>
              <w:jc w:val="center"/>
              <w:rPr>
                <w:rFonts w:ascii="楷体_GB2312" w:hAnsi="宋体" w:eastAsia="楷体_GB2312" w:cs="Times New Roman"/>
                <w:sz w:val="24"/>
                <w:szCs w:val="20"/>
              </w:rPr>
            </w:pPr>
            <w:r>
              <w:rPr>
                <w:rFonts w:hint="eastAsia" w:ascii="楷体_GB2312" w:hAnsi="宋体" w:eastAsia="楷体_GB2312" w:cs="Times New Roman"/>
                <w:sz w:val="24"/>
                <w:szCs w:val="20"/>
              </w:rPr>
              <w:t>三</w:t>
            </w:r>
          </w:p>
        </w:tc>
      </w:tr>
    </w:tbl>
    <w:p>
      <w:pPr>
        <w:spacing w:line="500" w:lineRule="exact"/>
        <w:ind w:firstLine="596" w:firstLineChars="198"/>
        <w:rPr>
          <w:rFonts w:ascii="仿宋_GB2312" w:hAnsi="宋体" w:eastAsia="仿宋_GB2312" w:cs="Times New Roman"/>
          <w:sz w:val="30"/>
          <w:szCs w:val="30"/>
        </w:rPr>
      </w:pPr>
      <w:r>
        <w:rPr>
          <w:rFonts w:hint="eastAsia" w:ascii="仿宋_GB2312" w:hAnsi="宋体" w:eastAsia="仿宋_GB2312" w:cs="Times New Roman"/>
          <w:b/>
          <w:bCs/>
          <w:sz w:val="30"/>
          <w:szCs w:val="30"/>
        </w:rPr>
        <w:t>说明：</w:t>
      </w:r>
      <w:r>
        <w:rPr>
          <w:rFonts w:hint="eastAsia" w:ascii="仿宋_GB2312" w:hAnsi="宋体" w:eastAsia="仿宋_GB2312" w:cs="Times New Roman"/>
          <w:sz w:val="30"/>
          <w:szCs w:val="30"/>
        </w:rPr>
        <w:t>如发生其他课堂教学、实践教学、教学管理等方面的责任事故，给学校正常教学秩序和教学活动造成不良影响或不良后果的，参照以上办法处理。</w:t>
      </w:r>
    </w:p>
    <w:p>
      <w:pPr>
        <w:spacing w:line="500" w:lineRule="exact"/>
        <w:rPr>
          <w:rFonts w:ascii="仿宋_GB2312" w:hAnsi="宋体" w:eastAsia="仿宋_GB2312" w:cs="Times New Roman"/>
          <w:sz w:val="30"/>
          <w:szCs w:val="30"/>
        </w:rPr>
      </w:pPr>
    </w:p>
    <w:p>
      <w:pPr>
        <w:spacing w:line="500" w:lineRule="exact"/>
        <w:rPr>
          <w:rFonts w:ascii="宋体" w:hAnsi="宋体" w:eastAsia="长城仿宋体" w:cs="Times New Roman"/>
          <w:sz w:val="30"/>
          <w:szCs w:val="30"/>
        </w:rPr>
      </w:pPr>
    </w:p>
    <w:p>
      <w:pPr>
        <w:spacing w:line="500" w:lineRule="exact"/>
        <w:rPr>
          <w:rFonts w:ascii="宋体" w:hAnsi="宋体" w:eastAsia="长城仿宋体" w:cs="Times New Roman"/>
          <w:sz w:val="30"/>
          <w:szCs w:val="30"/>
        </w:rPr>
      </w:pPr>
    </w:p>
    <w:p>
      <w:pPr>
        <w:spacing w:line="500" w:lineRule="exact"/>
        <w:rPr>
          <w:rFonts w:ascii="宋体" w:hAnsi="宋体" w:eastAsia="长城仿宋体" w:cs="Times New Roman"/>
          <w:sz w:val="30"/>
          <w:szCs w:val="30"/>
        </w:rPr>
      </w:pPr>
    </w:p>
    <w:p>
      <w:pPr>
        <w:spacing w:line="500" w:lineRule="exact"/>
        <w:rPr>
          <w:rFonts w:ascii="宋体" w:hAnsi="宋体" w:eastAsia="长城仿宋体" w:cs="Times New Roman"/>
          <w:sz w:val="30"/>
          <w:szCs w:val="30"/>
        </w:rPr>
      </w:pPr>
    </w:p>
    <w:p>
      <w:pPr>
        <w:spacing w:line="500" w:lineRule="exact"/>
        <w:rPr>
          <w:rFonts w:ascii="宋体" w:hAnsi="宋体" w:eastAsia="长城仿宋体" w:cs="Times New Roman"/>
          <w:sz w:val="30"/>
          <w:szCs w:val="30"/>
        </w:rPr>
      </w:pPr>
    </w:p>
    <w:p>
      <w:pPr>
        <w:spacing w:line="500" w:lineRule="exact"/>
        <w:rPr>
          <w:rFonts w:ascii="黑体" w:hAnsi="宋体" w:eastAsia="黑体" w:cs="Times New Roman"/>
          <w:b/>
          <w:sz w:val="28"/>
          <w:szCs w:val="28"/>
        </w:rPr>
      </w:pPr>
      <w:r>
        <w:rPr>
          <w:rFonts w:ascii="宋体" w:hAnsi="宋体" w:eastAsia="长城仿宋体" w:cs="Times New Roman"/>
          <w:sz w:val="30"/>
          <w:szCs w:val="30"/>
        </w:rPr>
        <w:br w:type="page"/>
      </w:r>
      <w:r>
        <w:rPr>
          <w:rFonts w:hint="eastAsia" w:ascii="黑体" w:hAnsi="宋体" w:eastAsia="黑体" w:cs="Times New Roman"/>
          <w:b/>
          <w:sz w:val="28"/>
          <w:szCs w:val="28"/>
        </w:rPr>
        <w:t>附件2</w:t>
      </w:r>
    </w:p>
    <w:p>
      <w:pPr>
        <w:spacing w:line="500" w:lineRule="exact"/>
        <w:jc w:val="center"/>
        <w:rPr>
          <w:rFonts w:ascii="黑体" w:hAnsi="宋体" w:eastAsia="黑体" w:cs="Times New Roman"/>
          <w:b/>
          <w:sz w:val="32"/>
          <w:szCs w:val="32"/>
        </w:rPr>
      </w:pPr>
      <w:r>
        <w:rPr>
          <w:rFonts w:hint="eastAsia" w:ascii="黑体" w:hAnsi="宋体" w:eastAsia="黑体" w:cs="Times New Roman"/>
          <w:b/>
          <w:sz w:val="32"/>
          <w:szCs w:val="32"/>
        </w:rPr>
        <w:t>内江师范学院教学责任事故认定处理表</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35"/>
        <w:gridCol w:w="1931"/>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2235" w:type="dxa"/>
            <w:tcBorders>
              <w:top w:val="single" w:color="auto" w:sz="12" w:space="0"/>
              <w:left w:val="single" w:color="auto" w:sz="12" w:space="0"/>
            </w:tcBorders>
            <w:vAlign w:val="center"/>
          </w:tcPr>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事   项</w:t>
            </w:r>
          </w:p>
        </w:tc>
        <w:tc>
          <w:tcPr>
            <w:tcW w:w="6513" w:type="dxa"/>
            <w:gridSpan w:val="3"/>
            <w:tcBorders>
              <w:top w:val="single" w:color="auto" w:sz="12" w:space="0"/>
              <w:right w:val="single" w:color="auto" w:sz="12" w:space="0"/>
            </w:tcBorders>
          </w:tcPr>
          <w:p>
            <w:pPr>
              <w:spacing w:line="500" w:lineRule="exact"/>
              <w:jc w:val="left"/>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tcBorders>
              <w:left w:val="single" w:color="auto" w:sz="12" w:space="0"/>
            </w:tcBorders>
            <w:vAlign w:val="center"/>
          </w:tcPr>
          <w:p>
            <w:pPr>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发生时间</w:t>
            </w:r>
          </w:p>
        </w:tc>
        <w:tc>
          <w:tcPr>
            <w:tcW w:w="1935" w:type="dxa"/>
          </w:tcPr>
          <w:p>
            <w:pPr>
              <w:jc w:val="left"/>
              <w:rPr>
                <w:rFonts w:ascii="仿宋_GB2312" w:hAnsi="宋体" w:eastAsia="仿宋_GB2312" w:cs="Times New Roman"/>
                <w:b/>
                <w:sz w:val="28"/>
                <w:szCs w:val="28"/>
              </w:rPr>
            </w:pPr>
          </w:p>
        </w:tc>
        <w:tc>
          <w:tcPr>
            <w:tcW w:w="1931" w:type="dxa"/>
          </w:tcPr>
          <w:p>
            <w:pPr>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发生地点</w:t>
            </w:r>
          </w:p>
        </w:tc>
        <w:tc>
          <w:tcPr>
            <w:tcW w:w="2647" w:type="dxa"/>
            <w:tcBorders>
              <w:right w:val="single" w:color="auto" w:sz="12" w:space="0"/>
            </w:tcBorders>
          </w:tcPr>
          <w:p>
            <w:pPr>
              <w:jc w:val="left"/>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tcBorders>
              <w:left w:val="single" w:color="auto" w:sz="12" w:space="0"/>
            </w:tcBorders>
            <w:vAlign w:val="center"/>
          </w:tcPr>
          <w:p>
            <w:pPr>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责 任 人</w:t>
            </w:r>
          </w:p>
        </w:tc>
        <w:tc>
          <w:tcPr>
            <w:tcW w:w="1935" w:type="dxa"/>
            <w:tcBorders>
              <w:right w:val="single" w:color="auto" w:sz="4" w:space="0"/>
            </w:tcBorders>
          </w:tcPr>
          <w:p>
            <w:pPr>
              <w:jc w:val="left"/>
              <w:rPr>
                <w:rFonts w:ascii="仿宋_GB2312" w:hAnsi="宋体" w:eastAsia="仿宋_GB2312" w:cs="Times New Roman"/>
                <w:b/>
                <w:sz w:val="28"/>
                <w:szCs w:val="28"/>
              </w:rPr>
            </w:pPr>
          </w:p>
        </w:tc>
        <w:tc>
          <w:tcPr>
            <w:tcW w:w="1931" w:type="dxa"/>
            <w:tcBorders>
              <w:left w:val="single" w:color="auto" w:sz="4" w:space="0"/>
              <w:right w:val="single" w:color="auto" w:sz="4" w:space="0"/>
            </w:tcBorders>
            <w:vAlign w:val="center"/>
          </w:tcPr>
          <w:p>
            <w:pPr>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所在单位</w:t>
            </w:r>
          </w:p>
        </w:tc>
        <w:tc>
          <w:tcPr>
            <w:tcW w:w="2647" w:type="dxa"/>
            <w:tcBorders>
              <w:left w:val="single" w:color="auto" w:sz="4" w:space="0"/>
              <w:right w:val="single" w:color="auto" w:sz="12" w:space="0"/>
            </w:tcBorders>
          </w:tcPr>
          <w:p>
            <w:pPr>
              <w:jc w:val="left"/>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7" w:hRule="atLeast"/>
        </w:trPr>
        <w:tc>
          <w:tcPr>
            <w:tcW w:w="2235" w:type="dxa"/>
            <w:tcBorders>
              <w:left w:val="single" w:color="auto" w:sz="12" w:space="0"/>
            </w:tcBorders>
            <w:vAlign w:val="center"/>
          </w:tcPr>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事故责任人所</w:t>
            </w:r>
          </w:p>
          <w:p>
            <w:pPr>
              <w:spacing w:line="500" w:lineRule="exact"/>
              <w:jc w:val="center"/>
              <w:rPr>
                <w:rFonts w:ascii="仿宋_GB2312" w:hAnsi="Courier New" w:eastAsia="仿宋_GB2312" w:cs="Times New Roman"/>
                <w:b/>
                <w:sz w:val="32"/>
                <w:szCs w:val="20"/>
              </w:rPr>
            </w:pPr>
            <w:r>
              <w:rPr>
                <w:rFonts w:hint="eastAsia" w:ascii="仿宋_GB2312" w:hAnsi="宋体" w:eastAsia="仿宋_GB2312" w:cs="Times New Roman"/>
                <w:b/>
                <w:sz w:val="28"/>
                <w:szCs w:val="28"/>
              </w:rPr>
              <w:t>在单位建议处理意见（包括事故情况、认定级别、处理意见等）</w:t>
            </w:r>
          </w:p>
        </w:tc>
        <w:tc>
          <w:tcPr>
            <w:tcW w:w="6513" w:type="dxa"/>
            <w:gridSpan w:val="3"/>
            <w:tcBorders>
              <w:right w:val="single" w:color="auto" w:sz="12" w:space="0"/>
            </w:tcBorders>
          </w:tcPr>
          <w:p>
            <w:pPr>
              <w:spacing w:line="500" w:lineRule="exact"/>
              <w:jc w:val="left"/>
              <w:rPr>
                <w:rFonts w:ascii="仿宋_GB2312" w:hAnsi="宋体" w:eastAsia="仿宋_GB2312" w:cs="Times New Roman"/>
                <w:b/>
                <w:sz w:val="28"/>
                <w:szCs w:val="28"/>
              </w:rPr>
            </w:pPr>
          </w:p>
          <w:p>
            <w:pPr>
              <w:spacing w:line="500" w:lineRule="exact"/>
              <w:jc w:val="left"/>
              <w:rPr>
                <w:rFonts w:ascii="仿宋_GB2312" w:hAnsi="宋体" w:eastAsia="仿宋_GB2312" w:cs="Times New Roman"/>
                <w:b/>
                <w:sz w:val="28"/>
                <w:szCs w:val="28"/>
              </w:rPr>
            </w:pPr>
          </w:p>
          <w:p>
            <w:pPr>
              <w:spacing w:line="500" w:lineRule="exact"/>
              <w:jc w:val="left"/>
              <w:rPr>
                <w:rFonts w:ascii="仿宋_GB2312" w:hAnsi="宋体" w:eastAsia="仿宋_GB2312" w:cs="Times New Roman"/>
                <w:b/>
                <w:sz w:val="28"/>
                <w:szCs w:val="28"/>
              </w:rPr>
            </w:pPr>
          </w:p>
          <w:p>
            <w:pPr>
              <w:spacing w:line="500" w:lineRule="exact"/>
              <w:jc w:val="left"/>
              <w:rPr>
                <w:rFonts w:ascii="仿宋_GB2312" w:hAnsi="宋体" w:eastAsia="仿宋_GB2312" w:cs="Times New Roman"/>
                <w:b/>
                <w:sz w:val="28"/>
                <w:szCs w:val="28"/>
              </w:rPr>
            </w:pPr>
          </w:p>
          <w:p>
            <w:pPr>
              <w:spacing w:line="500" w:lineRule="exact"/>
              <w:rPr>
                <w:rFonts w:ascii="仿宋_GB2312" w:hAnsi="宋体" w:eastAsia="仿宋_GB2312" w:cs="Times New Roman"/>
                <w:b/>
                <w:sz w:val="28"/>
                <w:szCs w:val="28"/>
              </w:rPr>
            </w:pPr>
          </w:p>
          <w:p>
            <w:pPr>
              <w:spacing w:line="500" w:lineRule="exact"/>
              <w:rPr>
                <w:rFonts w:ascii="仿宋_GB2312" w:hAnsi="宋体" w:eastAsia="仿宋_GB2312" w:cs="Times New Roman"/>
                <w:b/>
                <w:sz w:val="28"/>
                <w:szCs w:val="28"/>
              </w:rPr>
            </w:pPr>
          </w:p>
          <w:p>
            <w:pPr>
              <w:spacing w:line="500" w:lineRule="exact"/>
              <w:rPr>
                <w:rFonts w:ascii="仿宋_GB2312" w:hAnsi="宋体" w:eastAsia="仿宋_GB2312" w:cs="Times New Roman"/>
                <w:b/>
                <w:sz w:val="28"/>
                <w:szCs w:val="28"/>
              </w:rPr>
            </w:pPr>
          </w:p>
          <w:p>
            <w:pPr>
              <w:spacing w:line="50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单位负责人签字（盖章）：</w:t>
            </w:r>
          </w:p>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0" w:hRule="atLeast"/>
        </w:trPr>
        <w:tc>
          <w:tcPr>
            <w:tcW w:w="2235" w:type="dxa"/>
            <w:tcBorders>
              <w:left w:val="single" w:color="auto" w:sz="12" w:space="0"/>
            </w:tcBorders>
            <w:vAlign w:val="center"/>
          </w:tcPr>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事故调查小组</w:t>
            </w:r>
          </w:p>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意见</w:t>
            </w:r>
          </w:p>
        </w:tc>
        <w:tc>
          <w:tcPr>
            <w:tcW w:w="6513" w:type="dxa"/>
            <w:gridSpan w:val="3"/>
            <w:tcBorders>
              <w:right w:val="single" w:color="auto" w:sz="12" w:space="0"/>
            </w:tcBorders>
          </w:tcPr>
          <w:p>
            <w:pPr>
              <w:spacing w:line="500" w:lineRule="exact"/>
              <w:rPr>
                <w:rFonts w:ascii="仿宋_GB2312" w:hAnsi="宋体" w:eastAsia="仿宋_GB2312" w:cs="Times New Roman"/>
                <w:b/>
                <w:sz w:val="28"/>
                <w:szCs w:val="28"/>
                <w:lang w:val="en-GB"/>
              </w:rPr>
            </w:pPr>
          </w:p>
          <w:p>
            <w:pPr>
              <w:spacing w:line="500" w:lineRule="exact"/>
              <w:rPr>
                <w:rFonts w:ascii="仿宋_GB2312" w:hAnsi="宋体" w:eastAsia="仿宋_GB2312" w:cs="Times New Roman"/>
                <w:b/>
                <w:sz w:val="28"/>
                <w:szCs w:val="28"/>
              </w:rPr>
            </w:pPr>
          </w:p>
          <w:p>
            <w:pPr>
              <w:spacing w:line="50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签字（盖章）：</w:t>
            </w:r>
          </w:p>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1" w:hRule="atLeast"/>
        </w:trPr>
        <w:tc>
          <w:tcPr>
            <w:tcW w:w="2235" w:type="dxa"/>
            <w:tcBorders>
              <w:left w:val="single" w:color="auto" w:sz="12" w:space="0"/>
              <w:bottom w:val="single" w:color="auto" w:sz="12" w:space="0"/>
            </w:tcBorders>
            <w:vAlign w:val="center"/>
          </w:tcPr>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学校意见</w:t>
            </w:r>
          </w:p>
        </w:tc>
        <w:tc>
          <w:tcPr>
            <w:tcW w:w="6513" w:type="dxa"/>
            <w:gridSpan w:val="3"/>
            <w:tcBorders>
              <w:bottom w:val="single" w:color="auto" w:sz="12" w:space="0"/>
              <w:right w:val="single" w:color="auto" w:sz="12" w:space="0"/>
            </w:tcBorders>
          </w:tcPr>
          <w:p>
            <w:pPr>
              <w:spacing w:line="500" w:lineRule="exact"/>
              <w:rPr>
                <w:rFonts w:ascii="仿宋_GB2312" w:hAnsi="宋体" w:eastAsia="仿宋_GB2312" w:cs="Times New Roman"/>
                <w:b/>
                <w:sz w:val="28"/>
                <w:szCs w:val="28"/>
              </w:rPr>
            </w:pPr>
          </w:p>
          <w:p>
            <w:pPr>
              <w:spacing w:line="500" w:lineRule="exact"/>
              <w:rPr>
                <w:rFonts w:ascii="仿宋_GB2312" w:hAnsi="宋体" w:eastAsia="仿宋_GB2312" w:cs="Times New Roman"/>
                <w:b/>
                <w:sz w:val="28"/>
                <w:szCs w:val="28"/>
              </w:rPr>
            </w:pPr>
          </w:p>
          <w:p>
            <w:pPr>
              <w:spacing w:line="500" w:lineRule="exact"/>
              <w:ind w:firstLine="602" w:firstLineChars="214"/>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签字（盖章）：</w:t>
            </w:r>
          </w:p>
          <w:p>
            <w:pPr>
              <w:spacing w:line="5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                            年   月   日</w:t>
            </w:r>
          </w:p>
        </w:tc>
      </w:tr>
    </w:tbl>
    <w:p>
      <w:pPr>
        <w:spacing w:line="580" w:lineRule="exact"/>
        <w:rPr>
          <w:rFonts w:ascii="长城仿宋体" w:hAnsi="Courier New" w:eastAsia="长城仿宋体" w:cs="Times New Roman"/>
          <w:sz w:val="32"/>
          <w:szCs w:val="20"/>
        </w:rPr>
      </w:pPr>
    </w:p>
    <w:p>
      <w:pPr>
        <w:spacing w:line="360" w:lineRule="auto"/>
        <w:rPr>
          <w:rFonts w:cs="Times New Roman"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br w:type="page"/>
      </w:r>
    </w:p>
    <w:p>
      <w:pPr>
        <w:widowControl/>
        <w:spacing w:line="560" w:lineRule="atLeast"/>
        <w:jc w:val="center"/>
        <w:rPr>
          <w:rFonts w:cs="宋体" w:asciiTheme="majorEastAsia" w:hAnsiTheme="majorEastAsia" w:eastAsiaTheme="majorEastAsia"/>
          <w:b/>
          <w:color w:val="000000"/>
          <w:kern w:val="0"/>
          <w:szCs w:val="32"/>
        </w:rPr>
      </w:pPr>
      <w:r>
        <w:rPr>
          <w:rFonts w:hint="eastAsia" w:cs="宋体" w:asciiTheme="majorEastAsia" w:hAnsiTheme="majorEastAsia" w:eastAsiaTheme="majorEastAsia"/>
          <w:b/>
          <w:color w:val="000000"/>
          <w:kern w:val="0"/>
          <w:sz w:val="32"/>
          <w:szCs w:val="32"/>
        </w:rPr>
        <w:t>内江师范学院本科专业建设管理办法（修订）</w:t>
      </w:r>
    </w:p>
    <w:p>
      <w:pPr>
        <w:spacing w:line="560" w:lineRule="atLeas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内师院发〔2013〕76号</w:t>
      </w:r>
    </w:p>
    <w:p>
      <w:pPr>
        <w:widowControl/>
        <w:spacing w:line="560" w:lineRule="atLeast"/>
        <w:jc w:val="center"/>
        <w:rPr>
          <w:rFonts w:ascii="宋体" w:hAnsi="宋体" w:cs="宋体"/>
          <w:color w:val="000000"/>
          <w:kern w:val="0"/>
          <w:sz w:val="24"/>
        </w:rPr>
      </w:pPr>
    </w:p>
    <w:p>
      <w:pPr>
        <w:widowControl/>
        <w:spacing w:line="360" w:lineRule="auto"/>
        <w:jc w:val="center"/>
        <w:rPr>
          <w:rFonts w:cs="宋体" w:asciiTheme="minorEastAsia" w:hAnsiTheme="minorEastAsia"/>
          <w:b/>
          <w:color w:val="000000"/>
          <w:spacing w:val="-6"/>
          <w:kern w:val="0"/>
          <w:sz w:val="24"/>
          <w:szCs w:val="24"/>
        </w:rPr>
      </w:pPr>
      <w:r>
        <w:rPr>
          <w:rFonts w:hint="eastAsia" w:cs="宋体" w:asciiTheme="minorEastAsia" w:hAnsiTheme="minorEastAsia"/>
          <w:b/>
          <w:color w:val="000000"/>
          <w:spacing w:val="-6"/>
          <w:kern w:val="0"/>
          <w:sz w:val="24"/>
          <w:szCs w:val="24"/>
        </w:rPr>
        <w:t>第一章 总 则</w:t>
      </w:r>
    </w:p>
    <w:p>
      <w:pPr>
        <w:widowControl/>
        <w:spacing w:line="360" w:lineRule="auto"/>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第一条　为适应国家政治、经济、科技、文化和社会发展的需要，促进学校教育规模、结构、质量、效益的协调发展，加强本科专业设置、建设和评估管理，根据教育部《普通高等学校本科专业设置管理规定》（2012年），结合学校实际，制定本办法。</w:t>
      </w:r>
    </w:p>
    <w:p>
      <w:pPr>
        <w:widowControl/>
        <w:spacing w:line="360" w:lineRule="auto"/>
        <w:jc w:val="center"/>
        <w:rPr>
          <w:rFonts w:cs="宋体" w:asciiTheme="minorEastAsia" w:hAnsiTheme="minorEastAsia"/>
          <w:b/>
          <w:color w:val="000000"/>
          <w:spacing w:val="-6"/>
          <w:kern w:val="0"/>
          <w:sz w:val="24"/>
          <w:szCs w:val="24"/>
        </w:rPr>
      </w:pPr>
      <w:r>
        <w:rPr>
          <w:rFonts w:hint="eastAsia" w:cs="宋体" w:asciiTheme="minorEastAsia" w:hAnsiTheme="minorEastAsia"/>
          <w:b/>
          <w:color w:val="000000"/>
          <w:spacing w:val="-6"/>
          <w:kern w:val="0"/>
          <w:sz w:val="24"/>
          <w:szCs w:val="24"/>
        </w:rPr>
        <w:t>第二章 专业设置与调整</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第二条  专业设置与调整以科学发展观为指导，遵循高等教育发展的规律，主动适应国家和地方经济建设、科技进步和社会发展的需要。</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第三条　专业设置与调整应符合学校的办学定位和办学思路，有利于教育教学改革，有利于教学资源的优化配置与共享，有利于学生素质教育和能力培养，有利于提高教学质量和办学效益，形成合理的专业结构与布局。</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第四条  专业设置根据学校发展规模实行总量动态控制。</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第五条  专业设置与调整坚持整体优化的思路。一方面要</w:t>
      </w:r>
      <w:r>
        <w:rPr>
          <w:rFonts w:hint="eastAsia" w:cs="宋体" w:asciiTheme="minorEastAsia" w:hAnsiTheme="minorEastAsia"/>
          <w:color w:val="000000"/>
          <w:kern w:val="0"/>
          <w:sz w:val="24"/>
          <w:szCs w:val="24"/>
        </w:rPr>
        <w:t>坚持教师教育特色，保证重点建设，</w:t>
      </w:r>
      <w:r>
        <w:rPr>
          <w:rFonts w:hint="eastAsia" w:asciiTheme="minorEastAsia" w:hAnsiTheme="minorEastAsia"/>
          <w:sz w:val="24"/>
          <w:szCs w:val="24"/>
        </w:rPr>
        <w:t>另一方面要积极开设社会急需、有良好发展前景的新兴专业，努力建成传统专业和新兴专业、基础专业和应用专业、优势专业和特色专业协调发展的专业体系。</w:t>
      </w:r>
    </w:p>
    <w:p>
      <w:pPr>
        <w:widowControl/>
        <w:spacing w:line="360" w:lineRule="auto"/>
        <w:jc w:val="center"/>
        <w:rPr>
          <w:rFonts w:cs="宋体" w:asciiTheme="minorEastAsia" w:hAnsiTheme="minorEastAsia"/>
          <w:color w:val="000000"/>
          <w:spacing w:val="-6"/>
          <w:kern w:val="0"/>
          <w:sz w:val="24"/>
          <w:szCs w:val="24"/>
        </w:rPr>
      </w:pPr>
      <w:r>
        <w:rPr>
          <w:rFonts w:hint="eastAsia" w:cs="宋体" w:asciiTheme="minorEastAsia" w:hAnsiTheme="minorEastAsia"/>
          <w:b/>
          <w:color w:val="000000"/>
          <w:spacing w:val="-6"/>
          <w:kern w:val="0"/>
          <w:sz w:val="24"/>
          <w:szCs w:val="24"/>
        </w:rPr>
        <w:t>第三章    新办专业的申报与审批</w:t>
      </w:r>
    </w:p>
    <w:p>
      <w:pPr>
        <w:spacing w:line="360" w:lineRule="auto"/>
        <w:ind w:firstLine="456" w:firstLineChars="200"/>
        <w:jc w:val="left"/>
        <w:rPr>
          <w:rFonts w:asciiTheme="minorEastAsia" w:hAnsiTheme="minorEastAsia"/>
          <w:kern w:val="0"/>
          <w:sz w:val="24"/>
          <w:szCs w:val="24"/>
          <w:lang w:val="zh-CN"/>
        </w:rPr>
      </w:pPr>
      <w:r>
        <w:rPr>
          <w:rFonts w:hint="eastAsia" w:cs="宋体" w:asciiTheme="minorEastAsia" w:hAnsiTheme="minorEastAsia"/>
          <w:color w:val="000000"/>
          <w:spacing w:val="-6"/>
          <w:kern w:val="0"/>
          <w:sz w:val="24"/>
          <w:szCs w:val="24"/>
        </w:rPr>
        <w:t xml:space="preserve">第六条  </w:t>
      </w:r>
      <w:r>
        <w:rPr>
          <w:rFonts w:hint="eastAsia" w:asciiTheme="minorEastAsia" w:hAnsiTheme="minorEastAsia"/>
          <w:sz w:val="24"/>
          <w:szCs w:val="24"/>
        </w:rPr>
        <w:t>申报新专业的具体要求。</w:t>
      </w:r>
      <w:r>
        <w:rPr>
          <w:rFonts w:hint="eastAsia" w:cs="楷体_GB2312" w:asciiTheme="minorEastAsia" w:hAnsiTheme="minorEastAsia"/>
          <w:kern w:val="0"/>
          <w:sz w:val="24"/>
          <w:szCs w:val="24"/>
        </w:rPr>
        <w:t>增设新专业要</w:t>
      </w:r>
      <w:r>
        <w:rPr>
          <w:rFonts w:hint="eastAsia" w:cs="楷体_GB2312" w:asciiTheme="minorEastAsia" w:hAnsiTheme="minorEastAsia"/>
          <w:kern w:val="0"/>
          <w:sz w:val="24"/>
          <w:szCs w:val="24"/>
          <w:lang w:val="zh-CN"/>
        </w:rPr>
        <w:t>根据教育部《</w:t>
      </w:r>
      <w:r>
        <w:rPr>
          <w:rFonts w:hint="eastAsia" w:cs="宋体" w:asciiTheme="minorEastAsia" w:hAnsiTheme="minorEastAsia"/>
          <w:spacing w:val="-6"/>
          <w:kern w:val="0"/>
          <w:sz w:val="24"/>
          <w:szCs w:val="24"/>
        </w:rPr>
        <w:t>普通高等学校本科专业设置管理规定</w:t>
      </w:r>
      <w:r>
        <w:rPr>
          <w:rFonts w:hint="eastAsia" w:cs="楷体_GB2312" w:asciiTheme="minorEastAsia" w:hAnsiTheme="minorEastAsia"/>
          <w:kern w:val="0"/>
          <w:sz w:val="24"/>
          <w:szCs w:val="24"/>
          <w:lang w:val="zh-CN"/>
        </w:rPr>
        <w:t>》</w:t>
      </w:r>
      <w:r>
        <w:rPr>
          <w:rFonts w:hint="eastAsia" w:asciiTheme="minorEastAsia" w:hAnsiTheme="minorEastAsia"/>
          <w:kern w:val="0"/>
          <w:sz w:val="24"/>
          <w:szCs w:val="24"/>
          <w:lang w:val="zh-CN"/>
        </w:rPr>
        <w:t>(2012</w:t>
      </w:r>
      <w:r>
        <w:rPr>
          <w:rFonts w:hint="eastAsia" w:cs="楷体_GB2312" w:asciiTheme="minorEastAsia" w:hAnsiTheme="minorEastAsia"/>
          <w:kern w:val="0"/>
          <w:sz w:val="24"/>
          <w:szCs w:val="24"/>
          <w:lang w:val="zh-CN"/>
        </w:rPr>
        <w:t>年</w:t>
      </w:r>
      <w:r>
        <w:rPr>
          <w:rFonts w:hint="eastAsia" w:asciiTheme="minorEastAsia" w:hAnsiTheme="minorEastAsia"/>
          <w:kern w:val="0"/>
          <w:sz w:val="24"/>
          <w:szCs w:val="24"/>
          <w:lang w:val="zh-CN"/>
        </w:rPr>
        <w:t>)</w:t>
      </w:r>
      <w:r>
        <w:rPr>
          <w:rFonts w:hint="eastAsia" w:cs="楷体_GB2312" w:asciiTheme="minorEastAsia" w:hAnsiTheme="minorEastAsia"/>
          <w:kern w:val="0"/>
          <w:sz w:val="24"/>
          <w:szCs w:val="24"/>
          <w:lang w:val="zh-CN"/>
        </w:rPr>
        <w:t>的要求，符合学校专业建设规划和教学改革的总体思路，体现学校的办学定位和办学思路。</w:t>
      </w:r>
    </w:p>
    <w:p>
      <w:pPr>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第七条  教务处为专业设置和调整的主管部门，每年集中受理一次</w:t>
      </w:r>
      <w:r>
        <w:rPr>
          <w:rFonts w:hint="eastAsia" w:asciiTheme="minorEastAsia" w:hAnsiTheme="minorEastAsia"/>
          <w:sz w:val="24"/>
          <w:szCs w:val="24"/>
        </w:rPr>
        <w:t>。各二级学院向教务处申报新办专业相关材料，教务处组织专家初审并提交学校学术委员会评审，校长办公会审批，报上级主管部门备案审批。</w:t>
      </w:r>
    </w:p>
    <w:p>
      <w:pPr>
        <w:spacing w:line="360" w:lineRule="auto"/>
        <w:ind w:firstLine="456" w:firstLineChars="200"/>
        <w:jc w:val="left"/>
        <w:rPr>
          <w:rFonts w:asciiTheme="minorEastAsia" w:hAnsiTheme="minorEastAsia"/>
          <w:sz w:val="24"/>
          <w:szCs w:val="24"/>
        </w:rPr>
      </w:pPr>
      <w:r>
        <w:rPr>
          <w:rFonts w:hint="eastAsia" w:cs="宋体" w:asciiTheme="minorEastAsia" w:hAnsiTheme="minorEastAsia"/>
          <w:color w:val="000000"/>
          <w:spacing w:val="-6"/>
          <w:kern w:val="0"/>
          <w:sz w:val="24"/>
          <w:szCs w:val="24"/>
        </w:rPr>
        <w:t xml:space="preserve">第八条  </w:t>
      </w:r>
      <w:r>
        <w:rPr>
          <w:rFonts w:hint="eastAsia" w:asciiTheme="minorEastAsia" w:hAnsiTheme="minorEastAsia"/>
          <w:sz w:val="24"/>
          <w:szCs w:val="24"/>
        </w:rPr>
        <w:t>申报新办专业应提交以下主要书面材料：</w:t>
      </w:r>
    </w:p>
    <w:p>
      <w:pPr>
        <w:spacing w:line="360" w:lineRule="auto"/>
        <w:ind w:firstLine="480" w:firstLineChars="200"/>
        <w:jc w:val="left"/>
        <w:rPr>
          <w:rFonts w:cs="Arial Unicode MS" w:asciiTheme="minorEastAsia" w:hAnsiTheme="minorEastAsia"/>
          <w:sz w:val="24"/>
          <w:szCs w:val="24"/>
        </w:rPr>
      </w:pPr>
      <w:r>
        <w:rPr>
          <w:rFonts w:hint="eastAsia" w:asciiTheme="minorEastAsia" w:hAnsiTheme="minorEastAsia"/>
          <w:sz w:val="24"/>
          <w:szCs w:val="24"/>
        </w:rPr>
        <w:t>1. 申请报告，包括人才需求论证报告、说明设置或调整专业的主要理由、基本条件和其他情况；</w:t>
      </w:r>
    </w:p>
    <w:p>
      <w:pPr>
        <w:spacing w:line="360" w:lineRule="auto"/>
        <w:ind w:firstLine="480" w:firstLineChars="200"/>
        <w:jc w:val="left"/>
        <w:rPr>
          <w:rFonts w:cs="Arial Unicode MS" w:asciiTheme="minorEastAsia" w:hAnsiTheme="minorEastAsia"/>
          <w:sz w:val="24"/>
          <w:szCs w:val="24"/>
        </w:rPr>
      </w:pPr>
      <w:r>
        <w:rPr>
          <w:rFonts w:hint="eastAsia" w:asciiTheme="minorEastAsia" w:hAnsiTheme="minorEastAsia"/>
          <w:sz w:val="24"/>
          <w:szCs w:val="24"/>
        </w:rPr>
        <w:t>2. 申请表，按照统一制定的格式据实详细填写；</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 拟增设专业的教学指导委员会；</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4. 其它补充说明材料。</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第九条  新增（或调整）专业经教育主管部门审批后方可进行招生。</w:t>
      </w:r>
    </w:p>
    <w:p>
      <w:pPr>
        <w:widowControl/>
        <w:spacing w:line="360" w:lineRule="auto"/>
        <w:jc w:val="center"/>
        <w:rPr>
          <w:rFonts w:cs="宋体" w:asciiTheme="minorEastAsia" w:hAnsiTheme="minorEastAsia"/>
          <w:b/>
          <w:color w:val="000000"/>
          <w:spacing w:val="-6"/>
          <w:kern w:val="0"/>
          <w:sz w:val="24"/>
          <w:szCs w:val="24"/>
        </w:rPr>
      </w:pPr>
      <w:r>
        <w:rPr>
          <w:rFonts w:hint="eastAsia" w:cs="宋体" w:asciiTheme="minorEastAsia" w:hAnsiTheme="minorEastAsia"/>
          <w:b/>
          <w:color w:val="000000"/>
          <w:spacing w:val="-6"/>
          <w:kern w:val="0"/>
          <w:sz w:val="24"/>
          <w:szCs w:val="24"/>
        </w:rPr>
        <w:t>第四章    专业建设与管理</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第十条  专业建设的组织管理。</w:t>
      </w:r>
      <w:r>
        <w:rPr>
          <w:rFonts w:hint="eastAsia" w:asciiTheme="minorEastAsia" w:hAnsiTheme="minorEastAsia"/>
          <w:sz w:val="24"/>
          <w:szCs w:val="24"/>
        </w:rPr>
        <w:t>专业建设实行校、院两级管理。学校在专业建设的过程中要加强宏观调控，从整体上把握专业建设方向。全校各有关部门要高度重视并参与专业建设工作。专业建设日常工作由教务处受理。各二级学院应根据学校专业建设规划，制定本学院专业的建设规划及拟设专业的筹建计划并组织实施。</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第十一条  专业建设的具体工作由专业负责人协调开展。专业建设的具体内容包括培养目标、教学计划、教学文件、教学队伍、课程建设、教材建设、教学研究、教学改革、教学手段、实验室与实习基地建设、图书资料及教学场所建设等。</w:t>
      </w:r>
    </w:p>
    <w:p>
      <w:pPr>
        <w:widowControl/>
        <w:spacing w:line="360" w:lineRule="auto"/>
        <w:ind w:firstLine="480" w:firstLineChars="200"/>
        <w:jc w:val="left"/>
        <w:rPr>
          <w:rFonts w:cs="宋体" w:asciiTheme="minorEastAsia" w:hAnsiTheme="minorEastAsia"/>
          <w:color w:val="000000"/>
          <w:spacing w:val="-6"/>
          <w:kern w:val="0"/>
          <w:sz w:val="24"/>
          <w:szCs w:val="24"/>
        </w:rPr>
      </w:pPr>
      <w:r>
        <w:rPr>
          <w:rFonts w:hint="eastAsia" w:asciiTheme="minorEastAsia" w:hAnsiTheme="minorEastAsia"/>
          <w:bCs/>
          <w:sz w:val="24"/>
          <w:szCs w:val="24"/>
        </w:rPr>
        <w:t xml:space="preserve">第十二条  </w:t>
      </w:r>
      <w:r>
        <w:rPr>
          <w:rFonts w:hint="eastAsia" w:cs="宋体" w:asciiTheme="minorEastAsia" w:hAnsiTheme="minorEastAsia"/>
          <w:color w:val="000000"/>
          <w:spacing w:val="-6"/>
          <w:kern w:val="0"/>
          <w:sz w:val="24"/>
          <w:szCs w:val="24"/>
        </w:rPr>
        <w:t>学校设立专业建设专项基金，加大对新专业和特色专业建设力度，鼓励各二级学院设定一定的配套经费。</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学校专业建设基金由教务处统一管理。专业建设基金的使用范围：专业建设规划、培养方案、课程与教材建设、教学管理等相关文件的制定，市场调查及教学改革，教学资源建设，实践教学条件建设以及教师的短期培训等开支。</w:t>
      </w:r>
    </w:p>
    <w:p>
      <w:pPr>
        <w:spacing w:line="360" w:lineRule="auto"/>
        <w:ind w:firstLine="456" w:firstLineChars="200"/>
        <w:jc w:val="left"/>
        <w:rPr>
          <w:rFonts w:asciiTheme="minorEastAsia" w:hAnsiTheme="minorEastAsia"/>
          <w:sz w:val="24"/>
          <w:szCs w:val="24"/>
        </w:rPr>
      </w:pPr>
      <w:r>
        <w:rPr>
          <w:rFonts w:hint="eastAsia" w:cs="宋体" w:asciiTheme="minorEastAsia" w:hAnsiTheme="minorEastAsia"/>
          <w:color w:val="000000"/>
          <w:spacing w:val="-6"/>
          <w:kern w:val="0"/>
          <w:sz w:val="24"/>
          <w:szCs w:val="24"/>
        </w:rPr>
        <w:t>第十三条  学校建立专业评估制度和专业准入与退出机制，对各专业进行4年一轮的检查评估，对学科水平低、办学条件差、教学管理不善以及招生就业困难的专业，实行减少招生或停止招生。</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第五章   专业负责人</w:t>
      </w:r>
    </w:p>
    <w:p>
      <w:pPr>
        <w:spacing w:line="360" w:lineRule="auto"/>
        <w:ind w:firstLine="480" w:firstLineChars="200"/>
        <w:jc w:val="left"/>
        <w:rPr>
          <w:rFonts w:asciiTheme="minorEastAsia" w:hAnsiTheme="minorEastAsia"/>
          <w:sz w:val="24"/>
          <w:szCs w:val="24"/>
        </w:rPr>
      </w:pPr>
      <w:r>
        <w:rPr>
          <w:rFonts w:hint="eastAsia" w:asciiTheme="minorEastAsia" w:hAnsiTheme="minorEastAsia"/>
          <w:bCs/>
          <w:sz w:val="24"/>
          <w:szCs w:val="24"/>
        </w:rPr>
        <w:t xml:space="preserve">第十四条  </w:t>
      </w:r>
      <w:r>
        <w:rPr>
          <w:rFonts w:hint="eastAsia" w:asciiTheme="minorEastAsia" w:hAnsiTheme="minorEastAsia"/>
          <w:sz w:val="24"/>
          <w:szCs w:val="24"/>
        </w:rPr>
        <w:t>学校本科专业全面实行专业负责人制度，每个本科专业设置一名专业负责人。</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第十五条  专业负责人任职条件</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（一）热爱党的教育事业，热心教学工作，为人师表，教书育人，且具有较强的组织管理能力、服务意识和敬业精神；</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（二）具有本学科专业领域的高级职称，近3年均承担本专业课程教学任务，具有较高的学术造诣和教学水平；</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（三）在近3年专业建设与改革中取得较大成绩；</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（四）年龄在55周岁（含）以下（女教师在50周岁以下）。</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第十六条  专业负责人的工作职责</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专业负责人直接向所在学院领导负责，并接受教务处业务指导。</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（一）负责制定并组织实施专业建设规划；</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（二）负责组织制定或修订本专业的人才培养方案，审定课程教学大纲；</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（三）负责组织本专业的实践教学体系的制定和实施工作；</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（四）负责组织开展本专业的教学及研究活动；负责本专业教材选用与建设、考试考核以及专业建设经费的使用等；</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（五）协助教学副院长抓好本专业的教学质量管理；</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（六）负责组织与推荐本专业范围内的各级各类教学建设、研究、评奖等；</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（七）及时向学校、学院反映专业的有关情况，并针对存在的问题，向有关部门、领导提出意见建议。</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第十七条  专业负责人的聘任与考核</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（一）专业负责人的遴选由专业所在二级学院负责组织实施。学院组织聘任考核小组，在全面考察的基础上确定推荐名单，报教务处审核，经学校批准发文聘任。</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（二）专业负责人聘期一般为四年。期满后，可连续聘任。</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（三）专业负责人的工作考核由二级学院负责组织，每学年一次，具体考核细则由各学院制定，考核结果报教务处。</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（四）对考核合格的专业负责人按年度核发工作津贴，考核不合格者，停发工作津贴并取消专业负责人资格。</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第十八条  专业负责人的工作量计算及津贴。专业负责人的工作量按每学期30学时计算，学校按通识选修课的标准计算其工作津贴。各学院应向专业负责人给予一定工作补贴。</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第六章  特色专业</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第十九条   特色专业的建设实行“项目”管理，按照 “项目建设任务书”，分段检查，按期验收。学校对每个特色专业给予一定的经费资助，各学院应以一定的经费配套共建。具体管理按照《内江师范学院特色专业建设管理办法》（内师教字〔2009〕55号）和《本科教学质量与教学改革工程项目管理办法》（内师院发〔2012〕25号）执行。</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 xml:space="preserve">第七章  </w:t>
      </w:r>
      <w:r>
        <w:rPr>
          <w:rFonts w:hint="eastAsia" w:cs="宋体" w:asciiTheme="minorEastAsia" w:hAnsiTheme="minorEastAsia"/>
          <w:b/>
          <w:color w:val="000000"/>
          <w:spacing w:val="-6"/>
          <w:kern w:val="0"/>
          <w:sz w:val="24"/>
          <w:szCs w:val="24"/>
        </w:rPr>
        <w:t>专业评估</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第二十条　专业评估由评估中心牵头，通过学院自查、自评，学校复评验收的方式，对各专业进行评估。</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第二十一条  专业评估的主要内容</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 xml:space="preserve">（一）专业建设和发展规划； </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（二）培养方案的制定和执行；</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（三）师资队伍规划与建设；</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（四）课程建设与教材建设；</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（五）实验实践教学条件建设与管理；</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（六）生源与人才需求及学生就业；</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（七）经费投入及使用；</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（八）教学质量与人才培养；</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（九）教学改革及专业特色。</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第二十二条  在专业评估中排名前10%的专业，学校在专业软硬件建设上给予一定经费资助并适度扩大招生规模；在专业评估中未达标的专业，必须及时进行整顿、改进，适当压缩招生规模，或实行隔年招生；连续两次评估不达标者，取消该专业设置。</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第二十三条  新专业申报成功后连续3年不招生的专业，将自动取消，并停止资助经费的使用。</w:t>
      </w:r>
    </w:p>
    <w:p>
      <w:pPr>
        <w:widowControl/>
        <w:spacing w:line="360" w:lineRule="auto"/>
        <w:jc w:val="center"/>
        <w:rPr>
          <w:rFonts w:cs="宋体" w:asciiTheme="minorEastAsia" w:hAnsiTheme="minorEastAsia"/>
          <w:b/>
          <w:color w:val="000000"/>
          <w:spacing w:val="-6"/>
          <w:kern w:val="0"/>
          <w:sz w:val="24"/>
          <w:szCs w:val="24"/>
        </w:rPr>
      </w:pPr>
      <w:r>
        <w:rPr>
          <w:rFonts w:hint="eastAsia" w:cs="宋体" w:asciiTheme="minorEastAsia" w:hAnsiTheme="minorEastAsia"/>
          <w:b/>
          <w:color w:val="000000"/>
          <w:spacing w:val="-6"/>
          <w:kern w:val="0"/>
          <w:sz w:val="24"/>
          <w:szCs w:val="24"/>
        </w:rPr>
        <w:t>第八章　附　则</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第二十四条　本办法从颁布之日起执行，原有关管理办法与此不一致的，以此为准。</w:t>
      </w:r>
    </w:p>
    <w:p>
      <w:pPr>
        <w:widowControl/>
        <w:spacing w:line="360" w:lineRule="auto"/>
        <w:ind w:firstLine="456" w:firstLineChars="200"/>
        <w:jc w:val="left"/>
        <w:rPr>
          <w:rFonts w:cs="宋体" w:asciiTheme="minorEastAsia" w:hAnsiTheme="minorEastAsia"/>
          <w:color w:val="000000"/>
          <w:spacing w:val="-6"/>
          <w:kern w:val="0"/>
          <w:sz w:val="24"/>
          <w:szCs w:val="24"/>
        </w:rPr>
      </w:pPr>
      <w:r>
        <w:rPr>
          <w:rFonts w:hint="eastAsia" w:cs="宋体" w:asciiTheme="minorEastAsia" w:hAnsiTheme="minorEastAsia"/>
          <w:color w:val="000000"/>
          <w:spacing w:val="-6"/>
          <w:kern w:val="0"/>
          <w:sz w:val="24"/>
          <w:szCs w:val="24"/>
        </w:rPr>
        <w:t>第二十五条　本办法由教务处负责解释。</w:t>
      </w: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2013年6月20日</w:t>
      </w: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br w:type="page"/>
      </w:r>
    </w:p>
    <w:p>
      <w:pPr>
        <w:spacing w:line="56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内江师范学院课程建设管理办法</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内师院发〔2018〕160号</w:t>
      </w:r>
    </w:p>
    <w:p>
      <w:pPr>
        <w:widowControl/>
        <w:spacing w:line="560" w:lineRule="exact"/>
        <w:jc w:val="center"/>
        <w:rPr>
          <w:rFonts w:cs="仿宋" w:asciiTheme="minorEastAsia" w:hAnsiTheme="minorEastAsia"/>
          <w:b/>
          <w:color w:val="000000"/>
          <w:kern w:val="0"/>
          <w:sz w:val="28"/>
          <w:szCs w:val="28"/>
          <w:shd w:val="clear" w:color="auto" w:fill="FFFFFF"/>
          <w:lang w:bidi="ar"/>
        </w:rPr>
      </w:pPr>
    </w:p>
    <w:p>
      <w:pPr>
        <w:widowControl/>
        <w:spacing w:line="500" w:lineRule="exact"/>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第一章  总　则</w:t>
      </w:r>
    </w:p>
    <w:p>
      <w:pPr>
        <w:widowControl/>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第一条</w:t>
      </w:r>
      <w:r>
        <w:rPr>
          <w:rFonts w:hint="eastAsia" w:cs="仿宋" w:asciiTheme="minorEastAsia" w:hAnsiTheme="minorEastAsia"/>
          <w:b/>
          <w:color w:val="000000"/>
          <w:kern w:val="0"/>
          <w:sz w:val="24"/>
          <w:szCs w:val="24"/>
          <w:shd w:val="clear" w:color="auto" w:fill="FFFFFF"/>
          <w:lang w:bidi="ar"/>
        </w:rPr>
        <w:t xml:space="preserve">  </w:t>
      </w:r>
      <w:r>
        <w:rPr>
          <w:rFonts w:hint="eastAsia" w:cs="仿宋" w:asciiTheme="minorEastAsia" w:hAnsiTheme="minorEastAsia"/>
          <w:bCs/>
          <w:color w:val="000000"/>
          <w:sz w:val="24"/>
          <w:szCs w:val="24"/>
        </w:rPr>
        <w:t>课程建设是确保教学质量的基础，是支撑专业建设的根基。为深入贯彻新时代全国高等学校本科教育工作会议精神，结合《内江师范学院“十三五”事业发展规划》，围绕“三心、三能、三精神”的人才培养目标定位，对接</w:t>
      </w:r>
      <w:r>
        <w:rPr>
          <w:rFonts w:hint="eastAsia" w:cs="仿宋" w:asciiTheme="minorEastAsia" w:hAnsiTheme="minorEastAsia"/>
          <w:bCs/>
          <w:color w:val="000000"/>
          <w:kern w:val="0"/>
          <w:sz w:val="24"/>
          <w:szCs w:val="24"/>
        </w:rPr>
        <w:t>国家“双万工程”，</w:t>
      </w:r>
      <w:r>
        <w:rPr>
          <w:rFonts w:hint="eastAsia" w:cs="仿宋" w:asciiTheme="minorEastAsia" w:hAnsiTheme="minorEastAsia"/>
          <w:color w:val="000000"/>
          <w:kern w:val="0"/>
          <w:sz w:val="24"/>
          <w:szCs w:val="24"/>
        </w:rPr>
        <w:t>最终实现校级精品课程有一定规模、省级精品课程有一定数量、国家级精品课程逐步突破的课程建设格局，提升</w:t>
      </w:r>
      <w:r>
        <w:rPr>
          <w:rFonts w:hint="eastAsia" w:cs="仿宋" w:asciiTheme="minorEastAsia" w:hAnsiTheme="minorEastAsia"/>
          <w:bCs/>
          <w:color w:val="000000"/>
          <w:kern w:val="0"/>
          <w:sz w:val="24"/>
          <w:szCs w:val="24"/>
        </w:rPr>
        <w:t>学校在省内外的核心竞争力，</w:t>
      </w:r>
      <w:r>
        <w:rPr>
          <w:rFonts w:hint="eastAsia" w:cs="仿宋" w:asciiTheme="minorEastAsia" w:hAnsiTheme="minorEastAsia"/>
          <w:bCs/>
          <w:color w:val="000000"/>
          <w:sz w:val="24"/>
          <w:szCs w:val="24"/>
        </w:rPr>
        <w:t>特制订本办法。</w:t>
      </w: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第二章  课程建设层次与目标</w:t>
      </w:r>
    </w:p>
    <w:p>
      <w:pPr>
        <w:widowControl/>
        <w:numPr>
          <w:ilvl w:val="0"/>
          <w:numId w:val="6"/>
        </w:numPr>
        <w:spacing w:line="360" w:lineRule="auto"/>
        <w:ind w:firstLine="482" w:firstLineChars="200"/>
        <w:jc w:val="left"/>
        <w:rPr>
          <w:rFonts w:cs="仿宋" w:asciiTheme="minorEastAsia" w:hAnsiTheme="minorEastAsia"/>
          <w:b/>
          <w:bCs/>
          <w:color w:val="000000"/>
          <w:kern w:val="0"/>
          <w:sz w:val="24"/>
          <w:szCs w:val="24"/>
        </w:rPr>
      </w:pPr>
      <w:r>
        <w:rPr>
          <w:rFonts w:hint="eastAsia" w:cs="仿宋" w:asciiTheme="minorEastAsia" w:hAnsiTheme="minorEastAsia"/>
          <w:b/>
          <w:bCs/>
          <w:color w:val="000000"/>
          <w:kern w:val="0"/>
          <w:sz w:val="24"/>
          <w:szCs w:val="24"/>
        </w:rPr>
        <w:t xml:space="preserve"> 课程建设层次</w:t>
      </w:r>
    </w:p>
    <w:p>
      <w:pPr>
        <w:widowControl/>
        <w:spacing w:line="360" w:lineRule="auto"/>
        <w:ind w:firstLine="480" w:firstLineChars="200"/>
        <w:jc w:val="left"/>
        <w:rPr>
          <w:rFonts w:cs="仿宋" w:asciiTheme="minorEastAsia" w:hAnsiTheme="minorEastAsia"/>
          <w:kern w:val="0"/>
          <w:sz w:val="24"/>
          <w:szCs w:val="24"/>
        </w:rPr>
      </w:pPr>
      <w:r>
        <w:rPr>
          <w:rFonts w:hint="eastAsia" w:cs="仿宋" w:asciiTheme="minorEastAsia" w:hAnsiTheme="minorEastAsia"/>
          <w:bCs/>
          <w:sz w:val="24"/>
          <w:szCs w:val="24"/>
        </w:rPr>
        <w:t>学校所开设的所有课程都应开展课程的基本建设，完善课程的基本要素，有机融入思想政治教育元素，提高课程建设的总体质量。在基本建设的基础上，</w:t>
      </w:r>
      <w:r>
        <w:rPr>
          <w:rFonts w:hint="eastAsia" w:cs="仿宋" w:asciiTheme="minorEastAsia" w:hAnsiTheme="minorEastAsia"/>
          <w:kern w:val="0"/>
          <w:sz w:val="24"/>
          <w:szCs w:val="24"/>
        </w:rPr>
        <w:t>开展重点课程、精品课程两个层次的立项建设。</w:t>
      </w:r>
    </w:p>
    <w:p>
      <w:pPr>
        <w:widowControl/>
        <w:spacing w:line="360" w:lineRule="auto"/>
        <w:ind w:firstLine="482" w:firstLineChars="200"/>
        <w:jc w:val="left"/>
        <w:rPr>
          <w:rFonts w:cs="仿宋" w:asciiTheme="minorEastAsia" w:hAnsiTheme="minorEastAsia"/>
          <w:bCs/>
          <w:sz w:val="24"/>
          <w:szCs w:val="24"/>
        </w:rPr>
      </w:pPr>
      <w:r>
        <w:rPr>
          <w:rFonts w:hint="eastAsia" w:cs="仿宋" w:asciiTheme="minorEastAsia" w:hAnsiTheme="minorEastAsia"/>
          <w:b/>
          <w:bCs/>
          <w:kern w:val="0"/>
          <w:sz w:val="24"/>
          <w:szCs w:val="24"/>
        </w:rPr>
        <w:t>第三条</w:t>
      </w:r>
      <w:r>
        <w:rPr>
          <w:rFonts w:hint="eastAsia" w:cs="仿宋" w:asciiTheme="minorEastAsia" w:hAnsiTheme="minorEastAsia"/>
          <w:bCs/>
          <w:sz w:val="24"/>
          <w:szCs w:val="24"/>
        </w:rPr>
        <w:t xml:space="preserve">  </w:t>
      </w:r>
      <w:r>
        <w:rPr>
          <w:rFonts w:hint="eastAsia" w:cs="仿宋" w:asciiTheme="minorEastAsia" w:hAnsiTheme="minorEastAsia"/>
          <w:b/>
          <w:sz w:val="24"/>
          <w:szCs w:val="24"/>
        </w:rPr>
        <w:t>课程建设目标</w:t>
      </w:r>
    </w:p>
    <w:p>
      <w:pPr>
        <w:widowControl/>
        <w:spacing w:line="360" w:lineRule="auto"/>
        <w:ind w:firstLine="480" w:firstLineChars="200"/>
        <w:jc w:val="left"/>
        <w:rPr>
          <w:rFonts w:cs="仿宋" w:asciiTheme="minorEastAsia" w:hAnsiTheme="minorEastAsia"/>
          <w:bCs/>
          <w:color w:val="FF0000"/>
          <w:sz w:val="24"/>
          <w:szCs w:val="24"/>
        </w:rPr>
      </w:pPr>
      <w:r>
        <w:rPr>
          <w:rFonts w:hint="eastAsia" w:cs="仿宋" w:asciiTheme="minorEastAsia" w:hAnsiTheme="minorEastAsia"/>
          <w:bCs/>
          <w:sz w:val="24"/>
          <w:szCs w:val="24"/>
        </w:rPr>
        <w:t>1.重点课程建设对象从各专业的学科基础课程和专业核心课程、通识</w:t>
      </w:r>
      <w:r>
        <w:rPr>
          <w:rFonts w:hint="eastAsia" w:cs="仿宋" w:asciiTheme="minorEastAsia" w:hAnsiTheme="minorEastAsia"/>
          <w:bCs/>
          <w:color w:val="000000"/>
          <w:sz w:val="24"/>
          <w:szCs w:val="24"/>
        </w:rPr>
        <w:t>教育课程中遴选。重点课程应进行必要的线上建设，其建设目标是成为校级精品课程。</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精品课程的建设对象原则上在重点课程中遴选。精品课程必须开展线上建设，网站资源应完整，积极开展线上线下混合式教学并有运行记录。精品课程的建设目标是在校内起到引领示范作用，力争进入省级或国家级精品课程行列。</w:t>
      </w: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第三章　课程建设要素</w:t>
      </w:r>
    </w:p>
    <w:p>
      <w:pPr>
        <w:widowControl/>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bCs/>
          <w:color w:val="000000"/>
          <w:kern w:val="0"/>
          <w:sz w:val="24"/>
          <w:szCs w:val="24"/>
        </w:rPr>
        <w:t>第四条</w:t>
      </w:r>
      <w:r>
        <w:rPr>
          <w:rFonts w:hint="eastAsia" w:cs="仿宋" w:asciiTheme="minorEastAsia" w:hAnsiTheme="minorEastAsia"/>
          <w:bCs/>
          <w:color w:val="000000"/>
          <w:sz w:val="24"/>
          <w:szCs w:val="24"/>
        </w:rPr>
        <w:t xml:space="preserve">  </w:t>
      </w:r>
      <w:r>
        <w:rPr>
          <w:rFonts w:hint="eastAsia" w:cs="仿宋" w:asciiTheme="minorEastAsia" w:hAnsiTheme="minorEastAsia"/>
          <w:b/>
          <w:color w:val="000000"/>
          <w:sz w:val="24"/>
          <w:szCs w:val="24"/>
        </w:rPr>
        <w:t>师资队伍建设</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1.每门课程均应有符合条件的</w:t>
      </w:r>
      <w:r>
        <w:rPr>
          <w:rFonts w:hint="eastAsia" w:cs="仿宋" w:asciiTheme="minorEastAsia" w:hAnsiTheme="minorEastAsia"/>
          <w:bCs/>
          <w:sz w:val="24"/>
          <w:szCs w:val="24"/>
        </w:rPr>
        <w:t>至少2名任课</w:t>
      </w:r>
      <w:r>
        <w:rPr>
          <w:rFonts w:hint="eastAsia" w:cs="仿宋" w:asciiTheme="minorEastAsia" w:hAnsiTheme="minorEastAsia"/>
          <w:bCs/>
          <w:color w:val="000000"/>
          <w:sz w:val="24"/>
          <w:szCs w:val="24"/>
        </w:rPr>
        <w:t>教师，负责课程的基本建设和具体实施。有条件的课程或课程群，应积极组建课程组，在课程负责人的带领下，开展课程建设。</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2.有明确的师资队伍建设规划。形成结构合理的教师梯队，有培养青年教师的具体措施。</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3.课程组成员应爱岗敬业、潜心教学，积极参加课程建设和教学改革。</w:t>
      </w:r>
    </w:p>
    <w:p>
      <w:pPr>
        <w:widowControl/>
        <w:snapToGrid w:val="0"/>
        <w:spacing w:line="360" w:lineRule="auto"/>
        <w:ind w:firstLine="482" w:firstLineChars="200"/>
        <w:jc w:val="left"/>
        <w:rPr>
          <w:rFonts w:cs="仿宋" w:asciiTheme="minorEastAsia" w:hAnsiTheme="minorEastAsia"/>
          <w:b/>
          <w:bCs/>
          <w:color w:val="000000"/>
          <w:kern w:val="0"/>
          <w:sz w:val="24"/>
          <w:szCs w:val="24"/>
        </w:rPr>
      </w:pPr>
      <w:r>
        <w:rPr>
          <w:rFonts w:hint="eastAsia" w:cs="仿宋" w:asciiTheme="minorEastAsia" w:hAnsiTheme="minorEastAsia"/>
          <w:b/>
          <w:bCs/>
          <w:color w:val="000000"/>
          <w:kern w:val="0"/>
          <w:sz w:val="24"/>
          <w:szCs w:val="24"/>
        </w:rPr>
        <w:t xml:space="preserve">第五条  </w:t>
      </w:r>
      <w:r>
        <w:rPr>
          <w:rFonts w:hint="eastAsia" w:cs="仿宋" w:asciiTheme="minorEastAsia" w:hAnsiTheme="minorEastAsia"/>
          <w:b/>
          <w:bCs/>
          <w:color w:val="000000"/>
          <w:sz w:val="24"/>
          <w:szCs w:val="24"/>
        </w:rPr>
        <w:t>教材建设</w:t>
      </w:r>
    </w:p>
    <w:p>
      <w:pPr>
        <w:widowControl/>
        <w:shd w:val="clear" w:color="auto" w:fill="FFFFFF"/>
        <w:snapToGrid w:val="0"/>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应加强教材研究，积极选用近三年出版的、公认度高的、实用性强的教材；积极开展校本教材建设，校本教材既要体现前沿性，又要体现学校特色。</w:t>
      </w:r>
    </w:p>
    <w:p>
      <w:pPr>
        <w:widowControl/>
        <w:spacing w:line="360" w:lineRule="auto"/>
        <w:ind w:firstLine="482" w:firstLineChars="200"/>
        <w:jc w:val="left"/>
        <w:rPr>
          <w:rFonts w:cs="仿宋" w:asciiTheme="minorEastAsia" w:hAnsiTheme="minorEastAsia"/>
          <w:b/>
          <w:bCs/>
          <w:color w:val="000000"/>
          <w:sz w:val="24"/>
          <w:szCs w:val="24"/>
        </w:rPr>
      </w:pPr>
      <w:r>
        <w:rPr>
          <w:rFonts w:hint="eastAsia" w:cs="仿宋" w:asciiTheme="minorEastAsia" w:hAnsiTheme="minorEastAsia"/>
          <w:b/>
          <w:bCs/>
          <w:color w:val="000000"/>
          <w:sz w:val="24"/>
          <w:szCs w:val="24"/>
        </w:rPr>
        <w:t>第六条  教学资料建设</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1.教学大纲</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教学大纲应体现与专业培养目标的关系，完整列出课程内容体系，明确各章节重点和难点，说明本课程与先修及后续课程的关系等。</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2.教案及课件</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以教学大纲为依据，编写教案。教案应能体现课程目标，详略得当，并根据学科研究动态适时更新；根据课程的特点，制作相应的高质量课件。</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3.教学辅助资料</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有完善的教学辅助资料，如延伸阅读文献、教学参考书、实验指导手册、视频及影像资料、习题集、试题库以及网络资源链接等。</w:t>
      </w:r>
    </w:p>
    <w:p>
      <w:pPr>
        <w:widowControl/>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第七条</w:t>
      </w:r>
      <w:r>
        <w:rPr>
          <w:rFonts w:hint="eastAsia" w:cs="仿宋" w:asciiTheme="minorEastAsia" w:hAnsiTheme="minorEastAsia"/>
          <w:bCs/>
          <w:color w:val="000000"/>
          <w:sz w:val="24"/>
          <w:szCs w:val="24"/>
        </w:rPr>
        <w:t xml:space="preserve">  </w:t>
      </w:r>
      <w:r>
        <w:rPr>
          <w:rFonts w:hint="eastAsia" w:cs="仿宋" w:asciiTheme="minorEastAsia" w:hAnsiTheme="minorEastAsia"/>
          <w:b/>
          <w:color w:val="000000"/>
          <w:sz w:val="24"/>
          <w:szCs w:val="24"/>
        </w:rPr>
        <w:t>教学研究</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1.授课教师应积极开展教学反思，密切关注国内外同类课程的教学研究现状，不断充实、更新教学内容，确保学生牢固掌握课程的基本理论、基本知识、基本技能，及时了解相关前沿动态。</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2.授课教师应积极探索有效的教学方法和手段，探索小班化教学、混合式教学、翻转课堂等，激发学生学习兴趣，提高学生自我管理、自主学习的能力。</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3.授课教师应强化在线课程建设能力，充分利用网络教学平台，融合现代教育技术，实现教师教学方式、学生学习方式的与时俱进。</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4.任课教师应加强课程考核的研究，不断改进、完善考核方法，实现过程性评价和结果性评价相结合，提高考核效果的有效性、适宜性和针对性。</w:t>
      </w:r>
    </w:p>
    <w:p>
      <w:pPr>
        <w:widowControl/>
        <w:spacing w:line="360" w:lineRule="auto"/>
        <w:ind w:firstLine="482" w:firstLineChars="200"/>
        <w:jc w:val="left"/>
        <w:rPr>
          <w:rFonts w:cs="仿宋" w:asciiTheme="minorEastAsia" w:hAnsiTheme="minorEastAsia"/>
          <w:color w:val="000000"/>
          <w:sz w:val="24"/>
          <w:szCs w:val="24"/>
        </w:rPr>
      </w:pPr>
      <w:r>
        <w:rPr>
          <w:rFonts w:hint="eastAsia" w:cs="仿宋" w:asciiTheme="minorEastAsia" w:hAnsiTheme="minorEastAsia"/>
          <w:b/>
          <w:color w:val="000000"/>
          <w:sz w:val="24"/>
          <w:szCs w:val="24"/>
        </w:rPr>
        <w:t>第八条</w:t>
      </w:r>
      <w:r>
        <w:rPr>
          <w:rFonts w:hint="eastAsia" w:cs="仿宋" w:asciiTheme="minorEastAsia" w:hAnsiTheme="minorEastAsia"/>
          <w:bCs/>
          <w:color w:val="000000"/>
          <w:sz w:val="24"/>
          <w:szCs w:val="24"/>
        </w:rPr>
        <w:t xml:space="preserve"> </w:t>
      </w:r>
      <w:r>
        <w:rPr>
          <w:rFonts w:hint="eastAsia" w:cs="仿宋" w:asciiTheme="minorEastAsia" w:hAnsiTheme="minorEastAsia"/>
          <w:b/>
          <w:color w:val="000000"/>
          <w:sz w:val="24"/>
          <w:szCs w:val="24"/>
        </w:rPr>
        <w:t xml:space="preserve"> </w:t>
      </w:r>
      <w:r>
        <w:rPr>
          <w:rFonts w:hint="eastAsia" w:cs="仿宋" w:asciiTheme="minorEastAsia" w:hAnsiTheme="minorEastAsia"/>
          <w:color w:val="000000"/>
          <w:sz w:val="24"/>
          <w:szCs w:val="24"/>
        </w:rPr>
        <w:t>课程建设在完善基本要素的基础上，应根据课程建设的新动向，积极适应课程建设新要求开展相关建设。</w:t>
      </w: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第四章  课程负责人</w:t>
      </w:r>
    </w:p>
    <w:p>
      <w:pPr>
        <w:widowControl/>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第九条</w:t>
      </w:r>
      <w:r>
        <w:rPr>
          <w:rFonts w:hint="eastAsia" w:cs="仿宋" w:asciiTheme="minorEastAsia" w:hAnsiTheme="minorEastAsia"/>
          <w:bCs/>
          <w:color w:val="000000"/>
          <w:sz w:val="24"/>
          <w:szCs w:val="24"/>
        </w:rPr>
        <w:t xml:space="preserve"> </w:t>
      </w:r>
      <w:r>
        <w:rPr>
          <w:rFonts w:hint="eastAsia" w:cs="仿宋" w:asciiTheme="minorEastAsia" w:hAnsiTheme="minorEastAsia"/>
          <w:b/>
          <w:color w:val="000000"/>
          <w:sz w:val="24"/>
          <w:szCs w:val="24"/>
        </w:rPr>
        <w:t xml:space="preserve"> </w:t>
      </w:r>
      <w:r>
        <w:rPr>
          <w:rFonts w:hint="eastAsia" w:cs="仿宋" w:asciiTheme="minorEastAsia" w:hAnsiTheme="minorEastAsia"/>
          <w:bCs/>
          <w:color w:val="000000"/>
          <w:sz w:val="24"/>
          <w:szCs w:val="24"/>
        </w:rPr>
        <w:t>每门课程应有明确的课程建设负责人，负责课程的基本建设和课程项目的申报。</w:t>
      </w:r>
    </w:p>
    <w:p>
      <w:pPr>
        <w:widowControl/>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第十条  课程负责人的基本条件</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凡课程负责人，必须具备中级及以上职称。重点课程的负责人必须具备副教授及以上职称，或具有博士学位且高校教龄不低于三年，或具备硕士学位且高校教龄不低于五年；精品课程的负责人必须具备副教授及以上职称。重点课程和精品课程的负责人应具备丰富的教学经验和较高的教学研究水平。</w:t>
      </w:r>
    </w:p>
    <w:p>
      <w:pPr>
        <w:widowControl/>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第十一条  课程负责人的职责</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1.牵头制定课程建设方案。包括：教学内容优化、师资队伍建设、实验条件建设、教材建设、教学研究和改革以及具体措施等。</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2.组织实施课程建设方案。</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3.组织接受对课程的评估验收。</w:t>
      </w:r>
    </w:p>
    <w:p>
      <w:pPr>
        <w:widowControl/>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4.撰写课程建设总结。总结应突出课程建设规划的落实情况，包括：师资队伍情况，要突出队伍结构及教师的成长；教学资源建设情况，要围绕教学资源建设的维度展开；教学改革与研究情况，要包括相应的举措、相关课题研究、相关课件制作、发表教研论著、教研获奖等；建设效果评价及持续改进思路，包括课程建设的实际效果如何，取得了哪些经验，存在哪些不足，如何持续改进等；其他相关问题。</w:t>
      </w: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第五章  课程建设项目申报及审批</w:t>
      </w:r>
    </w:p>
    <w:p>
      <w:pPr>
        <w:widowControl/>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第十二条</w:t>
      </w:r>
      <w:r>
        <w:rPr>
          <w:rFonts w:hint="eastAsia" w:cs="仿宋" w:asciiTheme="minorEastAsia" w:hAnsiTheme="minorEastAsia"/>
          <w:bCs/>
          <w:color w:val="000000"/>
          <w:sz w:val="24"/>
          <w:szCs w:val="24"/>
        </w:rPr>
        <w:t xml:space="preserve">  重点课程由各教学单位负责组织遴选和建设</w:t>
      </w:r>
      <w:r>
        <w:rPr>
          <w:rFonts w:hint="eastAsia" w:cs="仿宋" w:asciiTheme="minorEastAsia" w:hAnsiTheme="minorEastAsia"/>
          <w:bCs/>
          <w:sz w:val="24"/>
          <w:szCs w:val="24"/>
        </w:rPr>
        <w:t>，报教务处备案；精品课程由学校发布相关申报指南，组织申报立项工</w:t>
      </w:r>
      <w:r>
        <w:rPr>
          <w:rFonts w:hint="eastAsia" w:cs="仿宋" w:asciiTheme="minorEastAsia" w:hAnsiTheme="minorEastAsia"/>
          <w:bCs/>
          <w:color w:val="000000"/>
          <w:sz w:val="24"/>
          <w:szCs w:val="24"/>
        </w:rPr>
        <w:t>作。学校</w:t>
      </w:r>
      <w:r>
        <w:rPr>
          <w:rFonts w:hint="eastAsia" w:cs="仿宋" w:asciiTheme="minorEastAsia" w:hAnsiTheme="minorEastAsia"/>
          <w:bCs/>
          <w:sz w:val="24"/>
          <w:szCs w:val="24"/>
        </w:rPr>
        <w:t>精品课程项目</w:t>
      </w:r>
      <w:r>
        <w:rPr>
          <w:rFonts w:hint="eastAsia" w:cs="仿宋" w:asciiTheme="minorEastAsia" w:hAnsiTheme="minorEastAsia"/>
          <w:bCs/>
          <w:color w:val="000000"/>
          <w:sz w:val="24"/>
          <w:szCs w:val="24"/>
        </w:rPr>
        <w:t>主要包括在线开放课程、创新创业教育示范课程、应用型示范课程、虚拟仿真实验教学项目等。根据国家高等教育发展的新趋势，学校的精品课程项目类别进行适时调整。</w:t>
      </w:r>
    </w:p>
    <w:p>
      <w:pPr>
        <w:widowControl/>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第十三条</w:t>
      </w:r>
      <w:r>
        <w:rPr>
          <w:rFonts w:hint="eastAsia" w:cs="仿宋" w:asciiTheme="minorEastAsia" w:hAnsiTheme="minorEastAsia"/>
          <w:bCs/>
          <w:color w:val="000000"/>
          <w:sz w:val="24"/>
          <w:szCs w:val="24"/>
        </w:rPr>
        <w:t xml:space="preserve">  各单位负责对本单位的立项申请进行审议并推荐上报。学校组织专家对申报材料进行预审，专家组向校学术委员会提出建议立项名单，校学术委员会审定拟立项名单并公示，公示期满无异议，报学校校长办公会批准后发文立项。 </w:t>
      </w:r>
    </w:p>
    <w:p>
      <w:pPr>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 xml:space="preserve">第十四条  </w:t>
      </w:r>
      <w:r>
        <w:rPr>
          <w:rFonts w:hint="eastAsia" w:cs="仿宋" w:asciiTheme="minorEastAsia" w:hAnsiTheme="minorEastAsia"/>
          <w:bCs/>
          <w:color w:val="000000"/>
          <w:sz w:val="24"/>
          <w:szCs w:val="24"/>
        </w:rPr>
        <w:t>各类省级及以上课程建设项目，原则上在已立项的校级精品课程中遴选推荐。</w:t>
      </w:r>
    </w:p>
    <w:p>
      <w:pPr>
        <w:widowControl/>
        <w:spacing w:line="360" w:lineRule="auto"/>
        <w:jc w:val="center"/>
        <w:rPr>
          <w:rFonts w:cs="仿宋" w:asciiTheme="minorEastAsia" w:hAnsiTheme="minorEastAsia"/>
          <w:bCs/>
          <w:color w:val="000000"/>
          <w:sz w:val="24"/>
          <w:szCs w:val="24"/>
        </w:rPr>
      </w:pP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第六章  课程建设管理</w:t>
      </w:r>
    </w:p>
    <w:p>
      <w:pPr>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第十五条  职责分工</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color w:val="000000"/>
          <w:sz w:val="24"/>
          <w:szCs w:val="24"/>
        </w:rPr>
        <w:t>1.任课教师（课程组）：负责课程的具体建设。</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2.开课单位：定期制定本单位课程建设规划，组织课程负责人的评选，组织开展本单位课程的基础建设，组织各级课程的推荐上报，督促本单位各级课程建设项目落到实处，对建设情况和质量展开自评。</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教务处：制定课程建设的管理制度，定期拟定学校课程建设的总体规划，组织课程项目的立项工作，检查课程建设项目执行情况，组织课程建设项目的抽查、评估与验收，组织省级或国家级课程建设项目的推荐上报。</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4．评估处：定期不定期开展课程建设的督查工作。</w:t>
      </w:r>
    </w:p>
    <w:p>
      <w:pPr>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第十六条  经费管理</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 xml:space="preserve">1.学校划拨专项经费用于课程建设，鼓励各教学单位资助配套经费。 </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2.经费资助原则：省级及以上级别课程酌情重点资助；校级课程按申报指南进行资助；学校对重点课程建设不单独给予经费资助，鼓励各教学单位酌情资助。</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3.经费划拨原则：根据经费额度大小，采取一次性划拨和分阶段划拨两种形式。</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4.经费使用范围：按照学校相关的项目经费管理办法规定。课程建设项目经费用于购置国内外有关教材、教学参考书、资料，制作课件，制作电子教案，课程上网及升级，建设试题库，编写教学大纲或其他教学文案；添置有关教具；发表或出版教研成果；参加校外有关课程建设的学术会议、交流观摩等产生的会务费、差旅费；课程组成员及相关外聘人员的劳务费。经费开支严格按照申报书的计划执行，不得挪作他用。</w:t>
      </w:r>
    </w:p>
    <w:p>
      <w:pPr>
        <w:spacing w:line="360" w:lineRule="auto"/>
        <w:ind w:firstLine="482" w:firstLineChars="200"/>
        <w:jc w:val="left"/>
        <w:rPr>
          <w:rFonts w:cs="仿宋" w:asciiTheme="minorEastAsia" w:hAnsiTheme="minorEastAsia"/>
          <w:b/>
          <w:color w:val="000000"/>
          <w:sz w:val="24"/>
          <w:szCs w:val="24"/>
        </w:rPr>
      </w:pPr>
      <w:r>
        <w:rPr>
          <w:rFonts w:hint="eastAsia" w:cs="仿宋" w:asciiTheme="minorEastAsia" w:hAnsiTheme="minorEastAsia"/>
          <w:b/>
          <w:color w:val="000000"/>
          <w:sz w:val="24"/>
          <w:szCs w:val="24"/>
        </w:rPr>
        <w:t>第十七条  检查与验收</w:t>
      </w:r>
    </w:p>
    <w:p>
      <w:pPr>
        <w:spacing w:line="360" w:lineRule="auto"/>
        <w:ind w:firstLine="480" w:firstLineChars="200"/>
        <w:jc w:val="left"/>
        <w:rPr>
          <w:rFonts w:cs="仿宋" w:asciiTheme="minorEastAsia" w:hAnsiTheme="minorEastAsia"/>
          <w:bCs/>
          <w:color w:val="000000"/>
          <w:sz w:val="24"/>
          <w:szCs w:val="24"/>
        </w:rPr>
      </w:pPr>
      <w:r>
        <w:rPr>
          <w:rFonts w:hint="eastAsia" w:cs="仿宋" w:asciiTheme="minorEastAsia" w:hAnsiTheme="minorEastAsia"/>
          <w:bCs/>
          <w:color w:val="000000"/>
          <w:sz w:val="24"/>
          <w:szCs w:val="24"/>
        </w:rPr>
        <w:t>1.凡学校立项建设的各级各类课程均应按要求接受年度检查、中期检查以及其他专项检查。对于检查不合格者，停止经费资助，取消课程荣誉，取消课程组成员下一年申报各类课程项目的资格。</w:t>
      </w:r>
    </w:p>
    <w:p>
      <w:pPr>
        <w:pStyle w:val="5"/>
        <w:spacing w:line="360" w:lineRule="auto"/>
        <w:ind w:left="6" w:firstLine="532" w:firstLineChars="222"/>
        <w:jc w:val="left"/>
        <w:rPr>
          <w:rFonts w:cs="仿宋" w:asciiTheme="minorEastAsia" w:hAnsiTheme="minorEastAsia" w:eastAsiaTheme="minorEastAsia"/>
          <w:bCs/>
          <w:color w:val="000000"/>
          <w:szCs w:val="24"/>
        </w:rPr>
      </w:pPr>
      <w:r>
        <w:rPr>
          <w:rFonts w:hint="eastAsia" w:cs="仿宋" w:asciiTheme="minorEastAsia" w:hAnsiTheme="minorEastAsia" w:eastAsiaTheme="minorEastAsia"/>
          <w:bCs/>
          <w:color w:val="000000"/>
          <w:szCs w:val="24"/>
        </w:rPr>
        <w:t>2.课程建设期满后，由课程负责人填写并向学校提交《内江师范学院教学研究项目验收表》，附书面总结及有关支撑材料。学校组织专家进行审核验收</w:t>
      </w:r>
      <w:r>
        <w:rPr>
          <w:rFonts w:hint="eastAsia" w:cs="仿宋" w:asciiTheme="minorEastAsia" w:hAnsiTheme="minorEastAsia" w:eastAsiaTheme="minorEastAsia"/>
          <w:bCs/>
          <w:color w:val="FF0000"/>
          <w:szCs w:val="24"/>
        </w:rPr>
        <w:t>。</w:t>
      </w:r>
      <w:r>
        <w:rPr>
          <w:rFonts w:hint="eastAsia" w:cs="仿宋" w:asciiTheme="minorEastAsia" w:hAnsiTheme="minorEastAsia" w:eastAsiaTheme="minorEastAsia"/>
          <w:bCs/>
          <w:color w:val="000000"/>
          <w:szCs w:val="24"/>
        </w:rPr>
        <w:t>验收不合格的，限期整改，整改期限一年，学校不再增拨经费。若再次验收不合格，则取消建设项目，追回已使用经费，取消课程组成员下一年申报各类课程的资格。</w:t>
      </w:r>
    </w:p>
    <w:p>
      <w:pPr>
        <w:widowControl/>
        <w:spacing w:line="360" w:lineRule="auto"/>
        <w:jc w:val="center"/>
        <w:rPr>
          <w:rFonts w:cs="仿宋" w:asciiTheme="minorEastAsia" w:hAnsiTheme="minorEastAsia"/>
          <w:b/>
          <w:color w:val="000000"/>
          <w:kern w:val="0"/>
          <w:sz w:val="24"/>
          <w:szCs w:val="24"/>
          <w:shd w:val="clear" w:color="auto" w:fill="FFFFFF"/>
          <w:lang w:bidi="ar"/>
        </w:rPr>
      </w:pPr>
      <w:r>
        <w:rPr>
          <w:rFonts w:hint="eastAsia" w:cs="仿宋" w:asciiTheme="minorEastAsia" w:hAnsiTheme="minorEastAsia"/>
          <w:b/>
          <w:color w:val="000000"/>
          <w:kern w:val="0"/>
          <w:sz w:val="24"/>
          <w:szCs w:val="24"/>
          <w:shd w:val="clear" w:color="auto" w:fill="FFFFFF"/>
          <w:lang w:bidi="ar"/>
        </w:rPr>
        <w:t>第七章  附则</w:t>
      </w:r>
    </w:p>
    <w:p>
      <w:pPr>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第十八条</w:t>
      </w:r>
      <w:r>
        <w:rPr>
          <w:rFonts w:hint="eastAsia" w:cs="仿宋" w:asciiTheme="minorEastAsia" w:hAnsiTheme="minorEastAsia"/>
          <w:bCs/>
          <w:color w:val="000000"/>
          <w:sz w:val="24"/>
          <w:szCs w:val="24"/>
        </w:rPr>
        <w:t xml:space="preserve">  本办法教务处负责解释。</w:t>
      </w:r>
    </w:p>
    <w:p>
      <w:pPr>
        <w:spacing w:line="360" w:lineRule="auto"/>
        <w:ind w:firstLine="482" w:firstLineChars="200"/>
        <w:jc w:val="left"/>
        <w:rPr>
          <w:rFonts w:cs="仿宋" w:asciiTheme="minorEastAsia" w:hAnsiTheme="minorEastAsia"/>
          <w:bCs/>
          <w:color w:val="000000"/>
          <w:sz w:val="24"/>
          <w:szCs w:val="24"/>
        </w:rPr>
      </w:pPr>
      <w:r>
        <w:rPr>
          <w:rFonts w:hint="eastAsia" w:cs="仿宋" w:asciiTheme="minorEastAsia" w:hAnsiTheme="minorEastAsia"/>
          <w:b/>
          <w:color w:val="000000"/>
          <w:sz w:val="24"/>
          <w:szCs w:val="24"/>
        </w:rPr>
        <w:t>第十九条</w:t>
      </w:r>
      <w:r>
        <w:rPr>
          <w:rFonts w:hint="eastAsia" w:cs="仿宋" w:asciiTheme="minorEastAsia" w:hAnsiTheme="minorEastAsia"/>
          <w:bCs/>
          <w:color w:val="000000"/>
          <w:sz w:val="24"/>
          <w:szCs w:val="24"/>
        </w:rPr>
        <w:t xml:space="preserve">  自本办法发文之日起执行，原《内江师范学院课程建设管理办法》（内师院发〔2013〕82号）即行废止。</w:t>
      </w:r>
    </w:p>
    <w:p>
      <w:pPr>
        <w:spacing w:line="360" w:lineRule="auto"/>
        <w:ind w:left="3574" w:right="838" w:rightChars="399" w:hanging="3573" w:hangingChars="1489"/>
        <w:jc w:val="righ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p>
    <w:p>
      <w:pPr>
        <w:spacing w:line="360" w:lineRule="auto"/>
        <w:ind w:left="3574" w:right="838" w:rightChars="399" w:hanging="3573" w:hangingChars="1489"/>
        <w:jc w:val="right"/>
        <w:rPr>
          <w:rFonts w:asciiTheme="minorEastAsia" w:hAnsiTheme="minorEastAsia"/>
          <w:sz w:val="24"/>
          <w:szCs w:val="24"/>
        </w:rPr>
      </w:pPr>
      <w:r>
        <w:rPr>
          <w:rFonts w:hint="eastAsia" w:asciiTheme="minorEastAsia" w:hAnsiTheme="minorEastAsia"/>
          <w:sz w:val="24"/>
          <w:szCs w:val="24"/>
        </w:rPr>
        <w:t xml:space="preserve">  2018年10月31日</w:t>
      </w:r>
    </w:p>
    <w:p>
      <w:pPr>
        <w:spacing w:line="360" w:lineRule="auto"/>
        <w:rPr>
          <w:rFonts w:asciiTheme="minorEastAsia" w:hAnsiTheme="minorEastAsia"/>
          <w:sz w:val="28"/>
          <w:szCs w:val="28"/>
        </w:rPr>
      </w:pPr>
    </w:p>
    <w:p>
      <w:pPr>
        <w:spacing w:line="360" w:lineRule="auto"/>
        <w:rPr>
          <w:rFonts w:ascii="宋体" w:hAnsi="宋体"/>
          <w:sz w:val="24"/>
        </w:rPr>
      </w:pPr>
      <w:r>
        <w:rPr>
          <w:rFonts w:hint="eastAsia" w:ascii="宋体" w:hAnsi="宋体"/>
          <w:sz w:val="24"/>
        </w:rPr>
        <w:br w:type="page"/>
      </w:r>
    </w:p>
    <w:p>
      <w:pPr>
        <w:spacing w:line="560" w:lineRule="exact"/>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内江师范学院教材建设与管理办法</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内师教字〔2015〕34号</w:t>
      </w:r>
    </w:p>
    <w:p>
      <w:pPr>
        <w:spacing w:line="560" w:lineRule="exact"/>
        <w:ind w:firstLine="560" w:firstLineChars="200"/>
        <w:rPr>
          <w:sz w:val="28"/>
          <w:szCs w:val="28"/>
        </w:rPr>
      </w:pP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第一章  总  则</w:t>
      </w:r>
    </w:p>
    <w:p>
      <w:pPr>
        <w:snapToGrid w:val="0"/>
        <w:spacing w:line="360" w:lineRule="auto"/>
        <w:ind w:firstLine="480" w:firstLineChars="200"/>
        <w:jc w:val="left"/>
        <w:rPr>
          <w:rFonts w:asciiTheme="minorEastAsia" w:hAnsiTheme="minorEastAsia"/>
          <w:sz w:val="24"/>
        </w:rPr>
      </w:pPr>
      <w:r>
        <w:rPr>
          <w:rFonts w:hint="eastAsia" w:asciiTheme="minorEastAsia" w:hAnsiTheme="minorEastAsia"/>
          <w:sz w:val="24"/>
        </w:rPr>
        <w:t>第一条  教材是体现教学内容和教学方法的知识载体，是启发学生智能、跟踪现代科学知识的媒体，是进行教学的基本工具，也是深化教育教学改革，全面推进素质教育，培养创新人才的重要保证。为适应高等教育改革与发展的需要，加强我校教材建设管理工作，推进教材管理的科学化和制度化，结合我校实际，特制定本办法。</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第二条  本规定所指教材包括教学用书、习题、外文教材、音像教材、电子教材等。 </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第二章  管理机构与职责</w:t>
      </w:r>
    </w:p>
    <w:p>
      <w:pPr>
        <w:spacing w:line="360" w:lineRule="auto"/>
        <w:ind w:firstLine="480" w:firstLineChars="200"/>
        <w:rPr>
          <w:rFonts w:asciiTheme="minorEastAsia" w:hAnsiTheme="minorEastAsia"/>
          <w:sz w:val="24"/>
        </w:rPr>
      </w:pPr>
      <w:r>
        <w:rPr>
          <w:rFonts w:hint="eastAsia" w:asciiTheme="minorEastAsia" w:hAnsiTheme="minorEastAsia"/>
          <w:sz w:val="24"/>
        </w:rPr>
        <w:t>第三条　教材建设实行校、院（部）两级管理，学校设立教材建设委员会，教学单位设立教材建设小组。</w:t>
      </w:r>
    </w:p>
    <w:p>
      <w:pPr>
        <w:snapToGrid w:val="0"/>
        <w:spacing w:line="360" w:lineRule="auto"/>
        <w:ind w:firstLine="480" w:firstLineChars="200"/>
        <w:jc w:val="left"/>
        <w:rPr>
          <w:rFonts w:asciiTheme="minorEastAsia" w:hAnsiTheme="minorEastAsia"/>
          <w:sz w:val="24"/>
        </w:rPr>
      </w:pPr>
      <w:r>
        <w:rPr>
          <w:rFonts w:hint="eastAsia" w:asciiTheme="minorEastAsia" w:hAnsiTheme="minorEastAsia"/>
          <w:sz w:val="24"/>
        </w:rPr>
        <w:t>第四条　学校教材建设委员会工作职责：审定全校教材建设规划以及相关的教材管理规定；指导和协调各学院教材建设小组工作；负责学校规划教材立项的申报和评审工作；检查落实教材工作各项方针、政策和措施；组织学校教材评估和优秀教材评选工作；指导教材研究工作等。</w:t>
      </w:r>
    </w:p>
    <w:p>
      <w:pPr>
        <w:spacing w:line="360" w:lineRule="auto"/>
        <w:ind w:firstLine="480" w:firstLineChars="200"/>
        <w:rPr>
          <w:rFonts w:asciiTheme="minorEastAsia" w:hAnsiTheme="minorEastAsia"/>
          <w:sz w:val="24"/>
        </w:rPr>
      </w:pPr>
      <w:r>
        <w:rPr>
          <w:rFonts w:hint="eastAsia" w:asciiTheme="minorEastAsia" w:hAnsiTheme="minorEastAsia"/>
          <w:sz w:val="24"/>
        </w:rPr>
        <w:t>第五条  教材建设小组工作职责：制定本单位教材编写计划和教材选用计划；审核选用教材的质量；组织本单位申报教材立项；指导本单位教材研究工作，并向学校推荐优秀教材等。</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第六条  学校教材建设委员会的组织机构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委员会设主任一名，秘书长一名，委员若干名；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委员会由具有丰富教学经验和较高学术水平、有编审教材能力、热心教材工作的专家组成，每届任期五年（和学术委员会同步）；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委员会下设办公室，挂靠教务处。 </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第三章　自编教材建设</w:t>
      </w:r>
    </w:p>
    <w:p>
      <w:pPr>
        <w:spacing w:line="360" w:lineRule="auto"/>
        <w:ind w:firstLine="480" w:firstLineChars="200"/>
        <w:rPr>
          <w:rFonts w:asciiTheme="minorEastAsia" w:hAnsiTheme="minorEastAsia"/>
          <w:sz w:val="24"/>
        </w:rPr>
      </w:pPr>
      <w:r>
        <w:rPr>
          <w:rFonts w:hint="eastAsia" w:asciiTheme="minorEastAsia" w:hAnsiTheme="minorEastAsia"/>
          <w:sz w:val="24"/>
        </w:rPr>
        <w:t>第七条　凡我校教师根据教学需要编写并正式出版的教材和辅助教材（实验实训指导书、习题集等），统称为自编教材。专著不纳入自编教材管理和使用范畴。</w:t>
      </w:r>
    </w:p>
    <w:p>
      <w:pPr>
        <w:spacing w:line="360" w:lineRule="auto"/>
        <w:ind w:firstLine="480" w:firstLineChars="200"/>
        <w:rPr>
          <w:rFonts w:asciiTheme="minorEastAsia" w:hAnsiTheme="minorEastAsia"/>
          <w:sz w:val="24"/>
        </w:rPr>
      </w:pPr>
      <w:r>
        <w:rPr>
          <w:rFonts w:hint="eastAsia" w:asciiTheme="minorEastAsia" w:hAnsiTheme="minorEastAsia"/>
          <w:sz w:val="24"/>
        </w:rPr>
        <w:t>第八条　自编教材编审的指导原则。充分体现教材的科学性、先进性、实践性和地方性等特点，突出特色，体现原创。对无特色和低水平重复的教材不予编审。</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第九条　凡需自编教材，主编填写《内江师范学院自编教材编写申请表》，教学单位签署意见，由教材建设委员会组织审批。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第十条　自编教材的选题和编写基本要求 </w:t>
      </w:r>
    </w:p>
    <w:p>
      <w:pPr>
        <w:spacing w:line="360" w:lineRule="auto"/>
        <w:ind w:firstLine="480" w:firstLineChars="200"/>
        <w:rPr>
          <w:rFonts w:asciiTheme="minorEastAsia" w:hAnsiTheme="minorEastAsia"/>
          <w:sz w:val="24"/>
        </w:rPr>
      </w:pPr>
      <w:r>
        <w:rPr>
          <w:rFonts w:hint="eastAsia" w:asciiTheme="minorEastAsia" w:hAnsiTheme="minorEastAsia"/>
          <w:sz w:val="24"/>
        </w:rPr>
        <w:t>1. 选题</w:t>
      </w:r>
    </w:p>
    <w:p>
      <w:pPr>
        <w:spacing w:line="360" w:lineRule="auto"/>
        <w:ind w:firstLine="480" w:firstLineChars="200"/>
        <w:rPr>
          <w:rFonts w:asciiTheme="minorEastAsia" w:hAnsiTheme="minorEastAsia"/>
          <w:sz w:val="24"/>
        </w:rPr>
      </w:pPr>
      <w:r>
        <w:rPr>
          <w:rFonts w:hint="eastAsia" w:asciiTheme="minorEastAsia" w:hAnsiTheme="minorEastAsia"/>
          <w:sz w:val="24"/>
        </w:rPr>
        <w:t>各部门应根据教学计划要求，对本部门开出课程使用的教材进行全面的调查分析，经充分论证后提出编写教材的选题和基本要求；各教学单位分管教学的领导应召集有关人员分析本部门教材使用情况，讨论通过本部门自编教材选题、计划和编写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主编、编者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主编和编者应具有较高的学术水平和较丰富的教学经验，从事过本门课程两届以上的教学实践。编（著）者在教学和教材使用上应保持相对稳定，以利于教材在教学实践的基础上不断充实、完善和提高。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编写大纲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主编和编者确定后，应由主编和编者写出详细的编写说明、编写大纲，与同类教材相比的特点以及教材的创新点等。经本部门教材建设小组批准后，作为编写和审稿的依据。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第十一条　自编教材的试用与出版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教材编写完成后，主编将《内江师范学院自编教材编写申请表》、《教材编写大纲》及书稿各一份报教务处，经学校教材建设委员会审批后可试用；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自编教材经试用，师生教学反映良好，主编申请，教学单位审核同意，学校将择优列为规划教材，积极向出版社推荐正式出版。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第十二条　自编教材选用审批与管理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选用我校教师主编或参编的教材，应于教材征订前两个月填写《内江师范学院自编教材使用申请表》，连同样书两本，报送学校教材建设委员会办公室；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学校教材建设委员会组织有关专家对自编教材进行审查；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未经审批的自编教材，任何单位和个人不得向学生销售。 </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第四章　教材的选用与征订</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第十三条 教材的选用原则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适用性原则：选用的教材要符合本专业人才培养目标与课程教学的要求，符合教育教学的基本规律，取材合适，富有启发性，有利于学生能力的培养。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科学性原则：选用的教材一方面要较好地体现本专业的内在科学逻辑，恰当反映本专业课与其他专业的外在联系，另一方面要反映本专业的新进展和新成果。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优质原则：教材选用必须坚持以质量为标准的原则，要优先选用近三年出版的国家规划教材和获奖教材、教育主管部门或教学指导委员会推荐的教材以及公认水平较高的教材；选用先进的、能反映专业发展前沿的国外原版教材和高质量的电子教材。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第十四条 教材的选用程序与要求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教材选用程序：授课教师选择推荐→教研室研讨选定版本→教学单位负责人审核签字盖章→报教务处。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教材选用要求 </w:t>
      </w:r>
    </w:p>
    <w:p>
      <w:pPr>
        <w:spacing w:line="360" w:lineRule="auto"/>
        <w:ind w:firstLine="480" w:firstLineChars="200"/>
        <w:rPr>
          <w:rFonts w:asciiTheme="minorEastAsia" w:hAnsiTheme="minorEastAsia"/>
          <w:sz w:val="24"/>
        </w:rPr>
      </w:pPr>
      <w:r>
        <w:rPr>
          <w:rFonts w:hint="eastAsia" w:asciiTheme="minorEastAsia" w:hAnsiTheme="minorEastAsia"/>
          <w:sz w:val="24"/>
        </w:rPr>
        <w:t>（1）授课教师应广泛了解与本门课程有关的不同版本教材情况 ,根据教材选用原则提出教材选用建议。</w:t>
      </w:r>
    </w:p>
    <w:p>
      <w:pPr>
        <w:spacing w:line="360" w:lineRule="auto"/>
        <w:ind w:firstLine="480" w:firstLineChars="200"/>
        <w:rPr>
          <w:rFonts w:asciiTheme="minorEastAsia" w:hAnsiTheme="minorEastAsia"/>
          <w:sz w:val="24"/>
        </w:rPr>
      </w:pPr>
      <w:r>
        <w:rPr>
          <w:rFonts w:hint="eastAsia" w:asciiTheme="minorEastAsia" w:hAnsiTheme="minorEastAsia"/>
          <w:sz w:val="24"/>
        </w:rPr>
        <w:t>（2）各教学单位按照教学计划和教学大纲的要求，遵循教材选用原则，对教材选用申请进行研究与讨论，确定各门课程的教材选用计划，报教务处审批。</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第十五条 教材的征订管理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学校每年分春秋两季进行教材征订工作。各教学单位应在规定的时间内按要求及时报送教材征订计划；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教材征订应以学期开课计划为据，参照《全国大中专教学用书汇编》进行选定，若欲征订《全国大中专教学用书汇编》目录外教材，须将拟订教材完整信息（教材名称、编著者、出版社、出版时间、版次）准确填报，各部门应保证教材征订信息的准确性。若多订、漏订或错订造成严重后果的，将追究当事人相应责任；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通识课教材由开课单位组织填报，授课教师所在单位选定教材；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4. 专业基础课的征订计划由学生所在教学单位填报；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5. 专业课由学生所在教学单位选定教材。 </w:t>
      </w:r>
    </w:p>
    <w:p>
      <w:pPr>
        <w:pStyle w:val="10"/>
        <w:spacing w:before="0" w:beforeAutospacing="0" w:after="0" w:afterAutospacing="0" w:line="360" w:lineRule="auto"/>
        <w:ind w:firstLine="200"/>
        <w:jc w:val="center"/>
        <w:rPr>
          <w:rFonts w:asciiTheme="minorEastAsia" w:hAnsiTheme="minorEastAsia" w:eastAsiaTheme="minorEastAsia"/>
        </w:rPr>
      </w:pPr>
      <w:r>
        <w:rPr>
          <w:rStyle w:val="12"/>
          <w:rFonts w:hint="eastAsia" w:asciiTheme="minorEastAsia" w:hAnsiTheme="minorEastAsia" w:eastAsiaTheme="minorEastAsia"/>
        </w:rPr>
        <w:t>第五章  教材的发放与管理</w:t>
      </w:r>
    </w:p>
    <w:p>
      <w:pPr>
        <w:pStyle w:val="10"/>
        <w:spacing w:before="0" w:beforeAutospacing="0" w:after="0" w:afterAutospacing="0" w:line="360" w:lineRule="auto"/>
        <w:ind w:firstLine="200"/>
        <w:jc w:val="both"/>
        <w:rPr>
          <w:rFonts w:asciiTheme="minorEastAsia" w:hAnsiTheme="minorEastAsia" w:eastAsiaTheme="minorEastAsia"/>
        </w:rPr>
      </w:pPr>
      <w:r>
        <w:rPr>
          <w:rFonts w:hint="eastAsia" w:asciiTheme="minorEastAsia" w:hAnsiTheme="minorEastAsia" w:eastAsiaTheme="minorEastAsia"/>
        </w:rPr>
        <w:t>　　第十六条  教师用书原则上只发给任课教师，同种版本的教材一人限领一套，由教学单位负责领取和发放。</w:t>
      </w:r>
    </w:p>
    <w:p>
      <w:pPr>
        <w:pStyle w:val="1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 xml:space="preserve">第十七条  普通本、专科教材等教学资料的订购、印刷、发行一律归口教务处管理。任何部门和个人均不得以任何理由自行订购、印刷及向学生出售教科书、讲义、实验指导书和习题集等教学及教学辅助资料。 </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第六章　优秀教材评选</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第十八条　学校每两年组织一次校级优秀教材评选；根据省教育厅和教育部的要求，积极推荐校级优秀教材申报省级、国家级优秀教材的评奖。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第十九条　评奖范围与奖励等级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凡第一主编为我校教师且近三年来在本科学生中使用过两次以上的教材均可申报参评。经过修订编写质量有明显提高且连续使用两次以上的，仍可继续参加学校评选。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第二十条　申报学校优秀教材评选的基本条件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1. 教材应具有科学性和较强的适用性，无知识性错误；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能反映教学内容和课程体系的改革方向，在教材内容和编写体系上有创新；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教材试用效果较好，有一定规模的发行量；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4. 教材的学术水平和编著水平得到同行专家认可。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第二十一条　评奖办法与奖励 </w:t>
      </w:r>
    </w:p>
    <w:p>
      <w:pPr>
        <w:spacing w:line="360" w:lineRule="auto"/>
        <w:ind w:firstLine="480" w:firstLineChars="200"/>
        <w:rPr>
          <w:rFonts w:asciiTheme="minorEastAsia" w:hAnsiTheme="minorEastAsia"/>
          <w:sz w:val="24"/>
        </w:rPr>
      </w:pPr>
      <w:r>
        <w:rPr>
          <w:rFonts w:hint="eastAsia" w:asciiTheme="minorEastAsia" w:hAnsiTheme="minorEastAsia"/>
          <w:sz w:val="24"/>
        </w:rPr>
        <w:t>1. 申报人如实填写《内江师范学院优秀教材申报表》，所在教研室签署申报意见，由教学单位教材建设小组组织初审，并推荐上报优秀教材的名单。</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 学校教材建设委员会对各单位推荐的优秀教材进行研究评审，并报校学术委员会审定，确定获奖教材的名单。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学校对获奖教材发文表彰，颁发荣誉证书及奖金。 </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第七章　附  则</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第二十二条　本办法由学校教务处负责解释。</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第二十三条  本办法自发文之日起执行，原《内江师范学院教材选用与评估管理办法》（内师教字 [2006]133号）、《内江师范学院教材建设管理暂行办法》（内师教字[2006]326号）、《内江师范学院优秀教材评选与奖励暂行办法》（内师教字[2007]151号）同时废止。</w:t>
      </w:r>
    </w:p>
    <w:p>
      <w:pPr>
        <w:spacing w:line="360" w:lineRule="auto"/>
        <w:ind w:firstLine="480" w:firstLineChars="200"/>
        <w:jc w:val="left"/>
        <w:rPr>
          <w:rFonts w:asciiTheme="minorEastAsia" w:hAnsiTheme="minorEastAsia"/>
          <w:sz w:val="24"/>
        </w:rPr>
      </w:pPr>
    </w:p>
    <w:p>
      <w:pPr>
        <w:spacing w:line="360" w:lineRule="auto"/>
        <w:jc w:val="right"/>
        <w:rPr>
          <w:rFonts w:asciiTheme="minorEastAsia" w:hAnsiTheme="minorEastAsia"/>
          <w:sz w:val="24"/>
        </w:rPr>
      </w:pPr>
      <w:r>
        <w:rPr>
          <w:rFonts w:hint="eastAsia" w:asciiTheme="minorEastAsia" w:hAnsiTheme="minorEastAsia"/>
          <w:sz w:val="24"/>
        </w:rPr>
        <w:t>2015年4月8日</w:t>
      </w:r>
    </w:p>
    <w:p>
      <w:pPr>
        <w:spacing w:line="360" w:lineRule="auto"/>
        <w:rPr>
          <w:rFonts w:asciiTheme="minorEastAsia" w:hAnsiTheme="minorEastAsia"/>
          <w:sz w:val="24"/>
        </w:rPr>
      </w:pPr>
    </w:p>
    <w:p>
      <w:pPr>
        <w:spacing w:line="360" w:lineRule="auto"/>
        <w:rPr>
          <w:rFonts w:ascii="宋体" w:hAnsi="宋体"/>
          <w:sz w:val="24"/>
        </w:rPr>
      </w:pPr>
      <w:r>
        <w:rPr>
          <w:rFonts w:hint="eastAsia" w:ascii="宋体" w:hAnsi="宋体"/>
          <w:sz w:val="24"/>
        </w:rPr>
        <w:br w:type="page"/>
      </w:r>
    </w:p>
    <w:p>
      <w:pPr>
        <w:spacing w:line="560" w:lineRule="atLeast"/>
        <w:jc w:val="center"/>
        <w:rPr>
          <w:rFonts w:ascii="宋体" w:hAnsi="宋体"/>
          <w:sz w:val="32"/>
          <w:szCs w:val="32"/>
        </w:rPr>
      </w:pPr>
      <w:r>
        <w:rPr>
          <w:rFonts w:hint="eastAsia" w:ascii="宋体" w:hAnsi="宋体"/>
          <w:b/>
          <w:sz w:val="32"/>
          <w:szCs w:val="32"/>
        </w:rPr>
        <w:t>内江师范学院双语教学课程建设管理办法</w:t>
      </w:r>
    </w:p>
    <w:p>
      <w:pPr>
        <w:spacing w:line="560" w:lineRule="atLeast"/>
        <w:ind w:firstLine="562" w:firstLineChars="200"/>
        <w:jc w:val="center"/>
        <w:rPr>
          <w:rFonts w:ascii="宋体" w:hAnsi="宋体"/>
          <w:b/>
          <w:sz w:val="28"/>
          <w:szCs w:val="28"/>
        </w:rPr>
      </w:pPr>
      <w:bookmarkStart w:id="59" w:name="1"/>
      <w:bookmarkEnd w:id="59"/>
      <w:bookmarkStart w:id="60" w:name="sub3072083_1"/>
      <w:bookmarkEnd w:id="60"/>
      <w:bookmarkStart w:id="61" w:name="总_则"/>
      <w:bookmarkEnd w:id="61"/>
      <w:r>
        <w:rPr>
          <w:rFonts w:hint="eastAsia" w:ascii="宋体" w:hAnsi="宋体"/>
          <w:b/>
          <w:sz w:val="28"/>
          <w:szCs w:val="28"/>
        </w:rPr>
        <w:t>内师教字〔201</w:t>
      </w:r>
      <w:r>
        <w:rPr>
          <w:rFonts w:ascii="宋体" w:hAnsi="宋体"/>
          <w:b/>
          <w:sz w:val="28"/>
          <w:szCs w:val="28"/>
        </w:rPr>
        <w:t>5</w:t>
      </w:r>
      <w:r>
        <w:rPr>
          <w:rFonts w:hint="eastAsia" w:ascii="宋体" w:hAnsi="宋体"/>
          <w:b/>
          <w:sz w:val="28"/>
          <w:szCs w:val="28"/>
        </w:rPr>
        <w:t>〕35号</w:t>
      </w:r>
    </w:p>
    <w:p>
      <w:pPr>
        <w:spacing w:line="560" w:lineRule="atLeast"/>
        <w:ind w:firstLine="562" w:firstLineChars="200"/>
        <w:jc w:val="center"/>
        <w:rPr>
          <w:rFonts w:ascii="宋体" w:hAnsi="宋体"/>
          <w:b/>
          <w:sz w:val="28"/>
          <w:szCs w:val="28"/>
        </w:rPr>
      </w:pPr>
    </w:p>
    <w:p>
      <w:pPr>
        <w:spacing w:line="360" w:lineRule="auto"/>
        <w:ind w:firstLine="482" w:firstLineChars="200"/>
        <w:jc w:val="center"/>
        <w:rPr>
          <w:rFonts w:ascii="宋体" w:hAnsi="宋体"/>
          <w:b/>
          <w:sz w:val="24"/>
          <w:szCs w:val="24"/>
        </w:rPr>
      </w:pPr>
      <w:r>
        <w:rPr>
          <w:rFonts w:hint="eastAsia" w:ascii="宋体" w:hAnsi="宋体"/>
          <w:b/>
          <w:sz w:val="24"/>
          <w:szCs w:val="24"/>
        </w:rPr>
        <w:t>一、总　则</w:t>
      </w:r>
    </w:p>
    <w:p>
      <w:pPr>
        <w:spacing w:line="360" w:lineRule="auto"/>
        <w:ind w:firstLine="480" w:firstLineChars="200"/>
        <w:rPr>
          <w:rFonts w:ascii="宋体" w:hAnsi="宋体"/>
          <w:sz w:val="24"/>
          <w:szCs w:val="24"/>
        </w:rPr>
      </w:pPr>
      <w:r>
        <w:rPr>
          <w:rFonts w:hint="eastAsia" w:ascii="宋体" w:hAnsi="宋体"/>
          <w:sz w:val="24"/>
          <w:szCs w:val="24"/>
        </w:rPr>
        <w:t>第一条 为贯彻落实《国家中长期教育改革和发展规划纲要（2010——2020）》、《教育部关于全面提高高等教育质量的若干意见》（教高</w:t>
      </w:r>
      <w:r>
        <w:rPr>
          <w:rFonts w:ascii="宋体" w:hAnsi="宋体"/>
          <w:sz w:val="24"/>
          <w:szCs w:val="24"/>
        </w:rPr>
        <w:t>[20</w:t>
      </w:r>
      <w:r>
        <w:rPr>
          <w:rFonts w:hint="eastAsia" w:ascii="宋体" w:hAnsi="宋体"/>
          <w:sz w:val="24"/>
          <w:szCs w:val="24"/>
        </w:rPr>
        <w:t>12</w:t>
      </w:r>
      <w:r>
        <w:rPr>
          <w:rFonts w:ascii="宋体" w:hAnsi="宋体"/>
          <w:sz w:val="24"/>
          <w:szCs w:val="24"/>
        </w:rPr>
        <w:t>]</w:t>
      </w:r>
      <w:r>
        <w:rPr>
          <w:rFonts w:hint="eastAsia" w:ascii="宋体" w:hAnsi="宋体"/>
          <w:sz w:val="24"/>
          <w:szCs w:val="24"/>
        </w:rPr>
        <w:t>4号）和《教育部关于全面深化课程改革落实立德树人根本任务的意见》（教基二[2014]4号）精神，推进教育教学国际化，不断提高办学水平和教学质量，规范双语教学管理，促进双语教学积极、稳妥、有序地开展，结合我校实际，特制定本办法。</w:t>
      </w:r>
    </w:p>
    <w:p>
      <w:pPr>
        <w:spacing w:line="360" w:lineRule="auto"/>
        <w:ind w:firstLine="482" w:firstLineChars="200"/>
        <w:jc w:val="center"/>
        <w:rPr>
          <w:rFonts w:ascii="宋体" w:hAnsi="宋体"/>
          <w:b/>
          <w:sz w:val="24"/>
          <w:szCs w:val="24"/>
        </w:rPr>
      </w:pPr>
      <w:r>
        <w:rPr>
          <w:rFonts w:hint="eastAsia" w:ascii="宋体" w:hAnsi="宋体"/>
          <w:b/>
          <w:sz w:val="24"/>
          <w:szCs w:val="24"/>
        </w:rPr>
        <w:t>二、建设内容</w:t>
      </w:r>
    </w:p>
    <w:p>
      <w:pPr>
        <w:widowControl/>
        <w:spacing w:line="360" w:lineRule="auto"/>
        <w:ind w:firstLine="520"/>
        <w:jc w:val="left"/>
        <w:rPr>
          <w:rFonts w:ascii="宋体" w:hAnsi="宋体"/>
          <w:sz w:val="24"/>
          <w:szCs w:val="24"/>
        </w:rPr>
      </w:pPr>
      <w:r>
        <w:rPr>
          <w:rFonts w:hint="eastAsia" w:ascii="宋体" w:hAnsi="宋体"/>
          <w:sz w:val="24"/>
          <w:szCs w:val="24"/>
        </w:rPr>
        <w:t>第二条 双语教学课程，是指使用高质量的外文原版教材，在课堂教学中使用普通话的同时，50</w:t>
      </w:r>
      <w:r>
        <w:rPr>
          <w:rFonts w:ascii="宋体" w:hAnsi="宋体"/>
          <w:sz w:val="24"/>
          <w:szCs w:val="24"/>
        </w:rPr>
        <w:t>%</w:t>
      </w:r>
      <w:r>
        <w:rPr>
          <w:rFonts w:hint="eastAsia" w:ascii="宋体" w:hAnsi="宋体"/>
          <w:sz w:val="24"/>
          <w:szCs w:val="24"/>
        </w:rPr>
        <w:t>以上的时间使用一种通用外国语作为教学媒介语进行教学的课程。</w:t>
      </w:r>
    </w:p>
    <w:p>
      <w:pPr>
        <w:widowControl/>
        <w:spacing w:line="360" w:lineRule="auto"/>
        <w:ind w:firstLine="520"/>
        <w:jc w:val="left"/>
        <w:rPr>
          <w:rFonts w:ascii="宋体" w:hAnsi="宋体"/>
          <w:sz w:val="24"/>
          <w:szCs w:val="24"/>
        </w:rPr>
      </w:pPr>
      <w:r>
        <w:rPr>
          <w:rFonts w:hint="eastAsia" w:ascii="宋体" w:hAnsi="宋体"/>
          <w:sz w:val="24"/>
          <w:szCs w:val="24"/>
        </w:rPr>
        <w:t xml:space="preserve">第三条 </w:t>
      </w:r>
      <w:r>
        <w:rPr>
          <w:rFonts w:ascii="宋体" w:hAnsi="宋体"/>
          <w:sz w:val="24"/>
          <w:szCs w:val="24"/>
        </w:rPr>
        <w:t>双语教学课程的建设内容包括双语师资的培训与培养、先进双语教材的引进与建设、双语教学方法的改革与实践、优秀双语教学课件的制作、双语教学经验的总结等。同时，积极利用现代教育技术手段，共享相关教学资源，以发挥示范辐射作用。</w:t>
      </w:r>
    </w:p>
    <w:p>
      <w:pPr>
        <w:widowControl/>
        <w:spacing w:line="360" w:lineRule="auto"/>
        <w:ind w:firstLine="520"/>
        <w:jc w:val="left"/>
        <w:rPr>
          <w:rFonts w:ascii="宋体" w:hAnsi="宋体" w:cs="宋体"/>
          <w:color w:val="000000"/>
          <w:kern w:val="0"/>
          <w:sz w:val="24"/>
          <w:szCs w:val="24"/>
        </w:rPr>
      </w:pPr>
      <w:r>
        <w:rPr>
          <w:rFonts w:hint="eastAsia" w:ascii="宋体" w:hAnsi="宋体"/>
          <w:sz w:val="24"/>
          <w:szCs w:val="24"/>
        </w:rPr>
        <w:t xml:space="preserve">第四条 </w:t>
      </w:r>
      <w:r>
        <w:rPr>
          <w:rFonts w:ascii="宋体" w:hAnsi="宋体"/>
          <w:sz w:val="24"/>
          <w:szCs w:val="24"/>
        </w:rPr>
        <w:t>双语课程是非语言类的专业课程，公共外语和专业外语教学课程不在双语教学课程之列。双语课程应以传授专业知识、专业外语水平为核心目的。任课教师不能将双语课上成专业英语课或英汉翻译课。</w:t>
      </w:r>
      <w:bookmarkStart w:id="62" w:name="sub3072083_2"/>
      <w:bookmarkEnd w:id="62"/>
      <w:bookmarkStart w:id="63" w:name="sub3072083_3"/>
      <w:bookmarkEnd w:id="63"/>
      <w:bookmarkStart w:id="64" w:name="双语教学课程教师的认定"/>
      <w:bookmarkEnd w:id="64"/>
      <w:bookmarkStart w:id="65" w:name="双语教学的实施"/>
      <w:bookmarkEnd w:id="65"/>
      <w:bookmarkStart w:id="66" w:name="sub3072083_4"/>
      <w:bookmarkEnd w:id="66"/>
      <w:bookmarkStart w:id="67" w:name="建设与管理"/>
      <w:bookmarkEnd w:id="67"/>
    </w:p>
    <w:p>
      <w:pPr>
        <w:spacing w:line="360" w:lineRule="auto"/>
        <w:ind w:firstLine="482" w:firstLineChars="200"/>
        <w:jc w:val="center"/>
        <w:rPr>
          <w:rFonts w:ascii="宋体" w:hAnsi="宋体"/>
          <w:b/>
          <w:sz w:val="24"/>
          <w:szCs w:val="24"/>
        </w:rPr>
      </w:pPr>
      <w:r>
        <w:rPr>
          <w:rFonts w:hint="eastAsia" w:ascii="宋体" w:hAnsi="宋体"/>
          <w:b/>
          <w:sz w:val="24"/>
          <w:szCs w:val="24"/>
        </w:rPr>
        <w:t>三、申报与立项</w:t>
      </w:r>
    </w:p>
    <w:p>
      <w:pPr>
        <w:widowControl/>
        <w:spacing w:line="360" w:lineRule="auto"/>
        <w:ind w:firstLine="520"/>
        <w:jc w:val="left"/>
        <w:rPr>
          <w:rFonts w:ascii="宋体" w:hAnsi="宋体"/>
          <w:sz w:val="24"/>
          <w:szCs w:val="24"/>
        </w:rPr>
      </w:pPr>
      <w:r>
        <w:rPr>
          <w:rFonts w:hint="eastAsia" w:ascii="宋体" w:hAnsi="宋体"/>
          <w:sz w:val="24"/>
          <w:szCs w:val="24"/>
        </w:rPr>
        <w:t>第五条 申报条件</w:t>
      </w:r>
    </w:p>
    <w:p>
      <w:pPr>
        <w:widowControl/>
        <w:spacing w:line="360" w:lineRule="auto"/>
        <w:ind w:firstLine="520"/>
        <w:jc w:val="left"/>
        <w:rPr>
          <w:rFonts w:ascii="宋体" w:hAnsi="宋体"/>
          <w:sz w:val="24"/>
          <w:szCs w:val="24"/>
        </w:rPr>
      </w:pPr>
      <w:r>
        <w:rPr>
          <w:rFonts w:hint="eastAsia" w:ascii="宋体" w:hAnsi="宋体"/>
          <w:sz w:val="24"/>
          <w:szCs w:val="24"/>
        </w:rPr>
        <w:t>1. 具有较好基础，课程建设与改革有特色，教学方法与手段有创新，教学研究成果突出等；</w:t>
      </w:r>
    </w:p>
    <w:p>
      <w:pPr>
        <w:spacing w:line="360" w:lineRule="auto"/>
        <w:ind w:firstLine="480" w:firstLineChars="200"/>
        <w:rPr>
          <w:rFonts w:ascii="宋体" w:hAnsi="宋体"/>
          <w:sz w:val="24"/>
          <w:szCs w:val="24"/>
        </w:rPr>
      </w:pPr>
      <w:r>
        <w:rPr>
          <w:rFonts w:hint="eastAsia" w:ascii="宋体" w:hAnsi="宋体"/>
          <w:sz w:val="24"/>
          <w:szCs w:val="24"/>
        </w:rPr>
        <w:t>2. 课程负责人为我校在岗在职教师；具有扎实的专业知识，能够胜任该课程的教学工作；具备较强的外语应用能力，能够流畅地运用外语进行授课及交流；</w:t>
      </w:r>
    </w:p>
    <w:p>
      <w:pPr>
        <w:spacing w:line="360" w:lineRule="auto"/>
        <w:ind w:firstLine="480" w:firstLineChars="200"/>
        <w:rPr>
          <w:rFonts w:ascii="宋体" w:hAnsi="宋体"/>
          <w:sz w:val="24"/>
          <w:szCs w:val="24"/>
        </w:rPr>
      </w:pPr>
      <w:r>
        <w:rPr>
          <w:rFonts w:hint="eastAsia" w:ascii="宋体" w:hAnsi="宋体"/>
          <w:sz w:val="24"/>
          <w:szCs w:val="24"/>
        </w:rPr>
        <w:t>3. 应有相对稳定的教学团队，教学团队成员结构合理、外语和教学水平较高、教学效果优良；</w:t>
      </w:r>
    </w:p>
    <w:p>
      <w:pPr>
        <w:spacing w:line="360" w:lineRule="auto"/>
        <w:ind w:firstLine="480" w:firstLineChars="200"/>
        <w:rPr>
          <w:rFonts w:ascii="宋体" w:hAnsi="宋体" w:cs="宋体"/>
          <w:bCs/>
          <w:kern w:val="0"/>
          <w:sz w:val="24"/>
          <w:szCs w:val="24"/>
        </w:rPr>
      </w:pPr>
      <w:r>
        <w:rPr>
          <w:rFonts w:hint="eastAsia" w:ascii="宋体" w:hAnsi="宋体"/>
          <w:sz w:val="24"/>
          <w:szCs w:val="24"/>
        </w:rPr>
        <w:t>4. 申报课程除按要求填报项目申报书外，还需根据《内江师范学院课程建设管理办法》，在网络教学平台进行教学资源建设。</w:t>
      </w:r>
    </w:p>
    <w:p>
      <w:pPr>
        <w:spacing w:line="360" w:lineRule="auto"/>
        <w:ind w:firstLine="480" w:firstLineChars="200"/>
        <w:rPr>
          <w:rFonts w:ascii="宋体" w:hAnsi="宋体"/>
          <w:sz w:val="24"/>
          <w:szCs w:val="24"/>
        </w:rPr>
      </w:pPr>
      <w:r>
        <w:rPr>
          <w:rFonts w:hint="eastAsia" w:ascii="宋体" w:hAnsi="宋体"/>
          <w:sz w:val="24"/>
          <w:szCs w:val="24"/>
        </w:rPr>
        <w:t>第六条 立项程序</w:t>
      </w:r>
    </w:p>
    <w:p>
      <w:pPr>
        <w:spacing w:line="360" w:lineRule="auto"/>
        <w:ind w:firstLine="480"/>
        <w:rPr>
          <w:rFonts w:ascii="宋体" w:hAnsi="宋体"/>
          <w:sz w:val="24"/>
          <w:szCs w:val="24"/>
        </w:rPr>
      </w:pPr>
      <w:r>
        <w:rPr>
          <w:rFonts w:hint="eastAsia" w:ascii="宋体" w:hAnsi="宋体"/>
          <w:sz w:val="24"/>
          <w:szCs w:val="24"/>
        </w:rPr>
        <w:t>双语教学课程立项程序包括课程组教师申请、教学单位推荐、学校组织专家初评、校学术委员会评审、拟立项名单公示、批准立项等环节。</w:t>
      </w:r>
    </w:p>
    <w:p>
      <w:pPr>
        <w:widowControl/>
        <w:spacing w:line="360" w:lineRule="auto"/>
        <w:ind w:firstLine="480" w:firstLineChars="200"/>
        <w:jc w:val="left"/>
        <w:rPr>
          <w:rFonts w:ascii="宋体" w:hAnsi="宋体"/>
          <w:sz w:val="24"/>
          <w:szCs w:val="24"/>
        </w:rPr>
      </w:pPr>
      <w:r>
        <w:rPr>
          <w:rFonts w:hint="eastAsia" w:ascii="宋体" w:hAnsi="宋体"/>
          <w:sz w:val="24"/>
          <w:szCs w:val="24"/>
        </w:rPr>
        <w:t>1. 教师申请：课程负责人填报《内江师范学院双语教学课程建设项目申报书》，并按规定提交相关申报材料；</w:t>
      </w:r>
    </w:p>
    <w:p>
      <w:pPr>
        <w:widowControl/>
        <w:spacing w:line="360" w:lineRule="auto"/>
        <w:ind w:firstLine="480" w:firstLineChars="200"/>
        <w:jc w:val="left"/>
        <w:rPr>
          <w:rFonts w:ascii="宋体" w:hAnsi="宋体"/>
          <w:sz w:val="24"/>
          <w:szCs w:val="24"/>
        </w:rPr>
      </w:pPr>
      <w:r>
        <w:rPr>
          <w:rFonts w:hint="eastAsia" w:ascii="宋体" w:hAnsi="宋体"/>
          <w:sz w:val="24"/>
          <w:szCs w:val="24"/>
        </w:rPr>
        <w:t>2. 教学单位推荐：教学单位负责组织专家对申报课程进行初审，按学校统一要求提交书面推荐意见和报送相关材料；</w:t>
      </w:r>
    </w:p>
    <w:p>
      <w:pPr>
        <w:widowControl/>
        <w:spacing w:line="360" w:lineRule="auto"/>
        <w:ind w:firstLine="480" w:firstLineChars="200"/>
        <w:jc w:val="left"/>
        <w:rPr>
          <w:rFonts w:ascii="宋体" w:hAnsi="宋体"/>
          <w:sz w:val="24"/>
          <w:szCs w:val="24"/>
        </w:rPr>
      </w:pPr>
      <w:r>
        <w:rPr>
          <w:rFonts w:hint="eastAsia" w:ascii="宋体" w:hAnsi="宋体"/>
          <w:sz w:val="24"/>
          <w:szCs w:val="24"/>
        </w:rPr>
        <w:t>3. 组织专家初评：对教学单位推荐的申报课程材料进行形式审查和初评；</w:t>
      </w:r>
    </w:p>
    <w:p>
      <w:pPr>
        <w:widowControl/>
        <w:spacing w:line="360" w:lineRule="auto"/>
        <w:ind w:firstLine="480" w:firstLineChars="200"/>
        <w:jc w:val="left"/>
        <w:rPr>
          <w:rFonts w:ascii="宋体" w:hAnsi="宋体"/>
          <w:sz w:val="24"/>
          <w:szCs w:val="24"/>
        </w:rPr>
      </w:pPr>
      <w:r>
        <w:rPr>
          <w:rFonts w:hint="eastAsia" w:ascii="宋体" w:hAnsi="宋体"/>
          <w:sz w:val="24"/>
          <w:szCs w:val="24"/>
        </w:rPr>
        <w:t>4. 校学术委员会评审：校学术委员会召开评审会议，确定拟立项课程名单；</w:t>
      </w:r>
    </w:p>
    <w:p>
      <w:pPr>
        <w:widowControl/>
        <w:spacing w:line="360" w:lineRule="auto"/>
        <w:ind w:firstLine="480" w:firstLineChars="200"/>
        <w:jc w:val="left"/>
        <w:rPr>
          <w:rFonts w:ascii="宋体" w:hAnsi="宋体"/>
          <w:sz w:val="24"/>
          <w:szCs w:val="24"/>
        </w:rPr>
      </w:pPr>
      <w:r>
        <w:rPr>
          <w:rFonts w:hint="eastAsia" w:ascii="宋体" w:hAnsi="宋体"/>
          <w:sz w:val="24"/>
          <w:szCs w:val="24"/>
        </w:rPr>
        <w:t>5. 公示及立项：对拟定的立项课程名单进行公示。公示无异议，批准立项建设。</w:t>
      </w:r>
    </w:p>
    <w:p>
      <w:pPr>
        <w:spacing w:line="360" w:lineRule="auto"/>
        <w:ind w:firstLine="482" w:firstLineChars="200"/>
        <w:jc w:val="center"/>
        <w:rPr>
          <w:rFonts w:ascii="宋体" w:hAnsi="宋体"/>
          <w:b/>
          <w:sz w:val="24"/>
          <w:szCs w:val="24"/>
        </w:rPr>
      </w:pPr>
      <w:r>
        <w:rPr>
          <w:rFonts w:hint="eastAsia" w:ascii="宋体" w:hAnsi="宋体"/>
          <w:b/>
          <w:sz w:val="24"/>
          <w:szCs w:val="24"/>
        </w:rPr>
        <w:t>四、建设与管理</w:t>
      </w:r>
    </w:p>
    <w:p>
      <w:pPr>
        <w:spacing w:line="360" w:lineRule="auto"/>
        <w:ind w:firstLine="480" w:firstLineChars="200"/>
        <w:rPr>
          <w:rFonts w:ascii="宋体" w:hAnsi="宋体"/>
          <w:sz w:val="24"/>
          <w:szCs w:val="24"/>
        </w:rPr>
      </w:pPr>
      <w:r>
        <w:rPr>
          <w:rFonts w:hint="eastAsia" w:ascii="宋体" w:hAnsi="宋体"/>
          <w:sz w:val="24"/>
          <w:szCs w:val="24"/>
        </w:rPr>
        <w:t>第七条 建设要求</w:t>
      </w:r>
    </w:p>
    <w:p>
      <w:pPr>
        <w:spacing w:line="360" w:lineRule="auto"/>
        <w:ind w:firstLine="480"/>
        <w:rPr>
          <w:rFonts w:ascii="宋体" w:hAnsi="宋体"/>
          <w:sz w:val="24"/>
          <w:szCs w:val="24"/>
        </w:rPr>
      </w:pPr>
      <w:r>
        <w:rPr>
          <w:rFonts w:hint="eastAsia" w:ascii="宋体" w:hAnsi="宋体"/>
          <w:sz w:val="24"/>
          <w:szCs w:val="24"/>
        </w:rPr>
        <w:t>1. 双语教学课程</w:t>
      </w:r>
      <w:r>
        <w:rPr>
          <w:rFonts w:ascii="宋体" w:hAnsi="宋体"/>
          <w:sz w:val="24"/>
          <w:szCs w:val="24"/>
        </w:rPr>
        <w:t>建设初期课堂教学</w:t>
      </w:r>
      <w:r>
        <w:rPr>
          <w:rFonts w:hint="eastAsia" w:ascii="宋体" w:hAnsi="宋体"/>
          <w:sz w:val="24"/>
          <w:szCs w:val="24"/>
        </w:rPr>
        <w:t>用语的</w:t>
      </w:r>
      <w:r>
        <w:rPr>
          <w:rFonts w:ascii="宋体" w:hAnsi="宋体"/>
          <w:sz w:val="24"/>
          <w:szCs w:val="24"/>
        </w:rPr>
        <w:t>30％以上使用外语，以后逐步提高外语使用比列，结项时课堂教学的50％以上使用外语</w:t>
      </w:r>
      <w:r>
        <w:rPr>
          <w:rFonts w:hint="eastAsia"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2. 须使用外文教材或讲义进行教学；</w:t>
      </w:r>
    </w:p>
    <w:p>
      <w:pPr>
        <w:spacing w:line="360" w:lineRule="auto"/>
        <w:ind w:firstLine="480"/>
        <w:rPr>
          <w:rFonts w:ascii="宋体" w:hAnsi="宋体"/>
          <w:sz w:val="24"/>
          <w:szCs w:val="24"/>
        </w:rPr>
      </w:pPr>
      <w:r>
        <w:rPr>
          <w:rFonts w:hint="eastAsia" w:ascii="宋体" w:hAnsi="宋体"/>
          <w:sz w:val="24"/>
          <w:szCs w:val="24"/>
        </w:rPr>
        <w:t>3. 根据课程教学要求，制定外文教学大纲；</w:t>
      </w:r>
    </w:p>
    <w:p>
      <w:pPr>
        <w:spacing w:line="360" w:lineRule="auto"/>
        <w:ind w:firstLine="480"/>
        <w:rPr>
          <w:rFonts w:ascii="宋体" w:hAnsi="宋体"/>
          <w:sz w:val="24"/>
          <w:szCs w:val="24"/>
        </w:rPr>
      </w:pPr>
      <w:r>
        <w:rPr>
          <w:rFonts w:hint="eastAsia" w:ascii="宋体" w:hAnsi="宋体"/>
          <w:sz w:val="24"/>
          <w:szCs w:val="24"/>
        </w:rPr>
        <w:t>4. 编印词汇手册、注释手册等，帮助学生理解教材内容；</w:t>
      </w:r>
    </w:p>
    <w:p>
      <w:pPr>
        <w:spacing w:line="360" w:lineRule="auto"/>
        <w:ind w:firstLine="480"/>
        <w:rPr>
          <w:rFonts w:ascii="宋体" w:hAnsi="宋体"/>
          <w:sz w:val="24"/>
          <w:szCs w:val="24"/>
        </w:rPr>
      </w:pPr>
      <w:r>
        <w:rPr>
          <w:rFonts w:hint="eastAsia" w:ascii="宋体" w:hAnsi="宋体"/>
          <w:sz w:val="24"/>
          <w:szCs w:val="24"/>
        </w:rPr>
        <w:t>5. 实施双语教学过程中，重要定理、概念以及关键词等使用外文进行板书；</w:t>
      </w:r>
    </w:p>
    <w:p>
      <w:pPr>
        <w:spacing w:line="360" w:lineRule="auto"/>
        <w:ind w:firstLine="480"/>
        <w:rPr>
          <w:rFonts w:ascii="宋体" w:hAnsi="宋体"/>
          <w:sz w:val="24"/>
          <w:szCs w:val="24"/>
        </w:rPr>
      </w:pPr>
      <w:r>
        <w:rPr>
          <w:rFonts w:hint="eastAsia" w:ascii="宋体" w:hAnsi="宋体"/>
          <w:sz w:val="24"/>
          <w:szCs w:val="24"/>
        </w:rPr>
        <w:t>6. 适量布置外文作业或者用外文命题考核；</w:t>
      </w:r>
    </w:p>
    <w:p>
      <w:pPr>
        <w:spacing w:line="360" w:lineRule="auto"/>
        <w:ind w:firstLine="480"/>
        <w:rPr>
          <w:rFonts w:ascii="宋体" w:hAnsi="宋体"/>
          <w:sz w:val="24"/>
          <w:szCs w:val="24"/>
        </w:rPr>
      </w:pPr>
      <w:r>
        <w:rPr>
          <w:rFonts w:hint="eastAsia" w:ascii="宋体" w:hAnsi="宋体"/>
          <w:sz w:val="24"/>
          <w:szCs w:val="24"/>
        </w:rPr>
        <w:t>7. 立项后至少面向两届学生开设。</w:t>
      </w:r>
    </w:p>
    <w:p>
      <w:pPr>
        <w:spacing w:line="360" w:lineRule="auto"/>
        <w:ind w:firstLine="480" w:firstLineChars="200"/>
        <w:rPr>
          <w:rFonts w:ascii="宋体" w:hAnsi="宋体"/>
          <w:sz w:val="24"/>
          <w:szCs w:val="24"/>
        </w:rPr>
      </w:pPr>
      <w:r>
        <w:rPr>
          <w:rFonts w:hint="eastAsia" w:ascii="宋体" w:hAnsi="宋体"/>
          <w:sz w:val="24"/>
          <w:szCs w:val="24"/>
        </w:rPr>
        <w:t>第八条 双语教学课程实行项目制管理，建设期为三年，学校给予经费资助建设。项目建设与管理按《内江师范学院课程建设管理办法》相关规定执行。</w:t>
      </w:r>
    </w:p>
    <w:p>
      <w:pPr>
        <w:spacing w:line="360" w:lineRule="auto"/>
        <w:ind w:firstLine="480" w:firstLineChars="200"/>
        <w:rPr>
          <w:rFonts w:ascii="宋体" w:hAnsi="宋体"/>
          <w:sz w:val="24"/>
          <w:szCs w:val="24"/>
        </w:rPr>
      </w:pPr>
      <w:r>
        <w:rPr>
          <w:rFonts w:hint="eastAsia" w:ascii="宋体" w:hAnsi="宋体"/>
          <w:sz w:val="24"/>
          <w:szCs w:val="24"/>
        </w:rPr>
        <w:t>第九条 双语教学课程选用的外文原版教材或外文讲义，由任课教师提出申请，学校审定。</w:t>
      </w:r>
    </w:p>
    <w:p>
      <w:pPr>
        <w:spacing w:line="360" w:lineRule="auto"/>
        <w:ind w:firstLine="482" w:firstLineChars="200"/>
        <w:jc w:val="center"/>
        <w:rPr>
          <w:rFonts w:ascii="宋体" w:hAnsi="宋体"/>
          <w:b/>
          <w:sz w:val="24"/>
          <w:szCs w:val="24"/>
        </w:rPr>
      </w:pPr>
      <w:r>
        <w:rPr>
          <w:rFonts w:hint="eastAsia" w:ascii="宋体" w:hAnsi="宋体"/>
          <w:b/>
          <w:sz w:val="24"/>
          <w:szCs w:val="24"/>
        </w:rPr>
        <w:t>五、附则</w:t>
      </w:r>
    </w:p>
    <w:p>
      <w:pPr>
        <w:spacing w:line="360" w:lineRule="auto"/>
        <w:ind w:firstLine="480" w:firstLineChars="200"/>
        <w:rPr>
          <w:rFonts w:ascii="宋体" w:hAnsi="宋体"/>
          <w:sz w:val="24"/>
          <w:szCs w:val="24"/>
        </w:rPr>
      </w:pPr>
      <w:r>
        <w:rPr>
          <w:rFonts w:hint="eastAsia" w:ascii="宋体" w:hAnsi="宋体"/>
          <w:sz w:val="24"/>
          <w:szCs w:val="24"/>
        </w:rPr>
        <w:t>第十条　本办法由学校教务处负责解释。</w:t>
      </w:r>
    </w:p>
    <w:p>
      <w:pPr>
        <w:spacing w:line="360" w:lineRule="auto"/>
        <w:ind w:firstLine="480" w:firstLineChars="200"/>
        <w:rPr>
          <w:rFonts w:ascii="宋体" w:hAnsi="宋体"/>
          <w:sz w:val="24"/>
          <w:szCs w:val="24"/>
        </w:rPr>
      </w:pPr>
      <w:r>
        <w:rPr>
          <w:rFonts w:hint="eastAsia" w:ascii="宋体" w:hAnsi="宋体"/>
          <w:sz w:val="24"/>
          <w:szCs w:val="24"/>
        </w:rPr>
        <w:t>第十一条 本办法自发文之日起执行，原《内江师范学院关于推进采用外文教材开展双语教学工作的管理办法》（内师教字[2006]81号）同时废止。</w:t>
      </w:r>
    </w:p>
    <w:p>
      <w:pPr>
        <w:spacing w:line="360" w:lineRule="auto"/>
        <w:ind w:firstLine="480" w:firstLineChars="200"/>
        <w:jc w:val="right"/>
        <w:rPr>
          <w:rFonts w:ascii="宋体" w:hAnsi="宋体"/>
          <w:sz w:val="24"/>
          <w:szCs w:val="24"/>
        </w:rPr>
      </w:pPr>
      <w:r>
        <w:rPr>
          <w:rFonts w:hint="eastAsia" w:ascii="宋体" w:hAnsi="宋体"/>
          <w:sz w:val="24"/>
          <w:szCs w:val="24"/>
        </w:rPr>
        <w:t>2015年4月8日</w:t>
      </w:r>
    </w:p>
    <w:p>
      <w:pPr>
        <w:spacing w:line="360" w:lineRule="auto"/>
        <w:rPr>
          <w:rFonts w:ascii="宋体" w:hAnsi="宋体"/>
          <w:sz w:val="24"/>
        </w:rPr>
      </w:pPr>
      <w:r>
        <w:rPr>
          <w:rFonts w:hint="eastAsia" w:ascii="宋体" w:hAnsi="宋体"/>
          <w:sz w:val="24"/>
        </w:rPr>
        <w:br w:type="page"/>
      </w:r>
    </w:p>
    <w:p>
      <w:pPr>
        <w:pStyle w:val="23"/>
        <w:shd w:val="clear" w:color="auto" w:fill="FFFFFF"/>
        <w:spacing w:line="560" w:lineRule="exact"/>
        <w:jc w:val="center"/>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内江师范学院</w:t>
      </w:r>
    </w:p>
    <w:p>
      <w:pPr>
        <w:pStyle w:val="23"/>
        <w:shd w:val="clear" w:color="auto" w:fill="FFFFFF"/>
        <w:spacing w:line="560" w:lineRule="exact"/>
        <w:jc w:val="center"/>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关于加强通识教育选修课管理的办法（修订）</w:t>
      </w:r>
    </w:p>
    <w:p>
      <w:pPr>
        <w:spacing w:line="560" w:lineRule="exact"/>
        <w:jc w:val="center"/>
        <w:rPr>
          <w:rFonts w:asciiTheme="minorEastAsia" w:hAnsiTheme="minorEastAsia"/>
          <w:b/>
          <w:sz w:val="28"/>
          <w:szCs w:val="28"/>
        </w:rPr>
      </w:pPr>
      <w:r>
        <w:rPr>
          <w:rFonts w:hint="eastAsia" w:asciiTheme="minorEastAsia" w:hAnsiTheme="minorEastAsia"/>
          <w:b/>
          <w:sz w:val="28"/>
          <w:szCs w:val="28"/>
        </w:rPr>
        <w:t>内师教字〔2012〕58号</w:t>
      </w:r>
    </w:p>
    <w:p>
      <w:pPr>
        <w:pStyle w:val="23"/>
        <w:shd w:val="clear" w:color="auto" w:fill="FFFFFF"/>
        <w:spacing w:line="560" w:lineRule="exact"/>
        <w:ind w:firstLine="420" w:firstLineChars="200"/>
        <w:rPr>
          <w:rFonts w:asciiTheme="minorEastAsia" w:hAnsiTheme="minorEastAsia" w:eastAsiaTheme="minorEastAsia"/>
          <w:color w:val="000000"/>
        </w:rPr>
      </w:pPr>
    </w:p>
    <w:p>
      <w:pPr>
        <w:pStyle w:val="23"/>
        <w:shd w:val="clear" w:color="auto" w:fill="FFFFFF"/>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为充分发挥通识教育课程在学校文化素质教育中的主渠道作用，培养学生贯通科学、人文、艺术与社会之间的素养，提升学生综合素质，学校决定进一步加强和规范通识教育选修课管理，鼓励教师面向学生开设高水平通识教育选修课程，确保选修课教学质量，特制定本办法。</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一、选课要求和原则</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通识教育选修课由人文社会科学系列、自然科学与技术系列、艺术、体育与健康系列、教师教育系列、</w:t>
      </w:r>
      <w:bookmarkStart w:id="68" w:name="OLE_LINK28"/>
      <w:r>
        <w:rPr>
          <w:rFonts w:hint="eastAsia" w:cs="宋体" w:asciiTheme="minorEastAsia" w:hAnsiTheme="minorEastAsia"/>
          <w:color w:val="000000"/>
          <w:kern w:val="0"/>
          <w:sz w:val="24"/>
          <w:szCs w:val="24"/>
        </w:rPr>
        <w:t>综合素质训练及学术讲座</w:t>
      </w:r>
      <w:bookmarkEnd w:id="68"/>
      <w:r>
        <w:rPr>
          <w:rFonts w:hint="eastAsia" w:cs="宋体" w:asciiTheme="minorEastAsia" w:hAnsiTheme="minorEastAsia"/>
          <w:color w:val="000000"/>
          <w:kern w:val="0"/>
          <w:sz w:val="24"/>
          <w:szCs w:val="24"/>
        </w:rPr>
        <w:t>等五类若干课程板块构成。选修课程设置既要适宜于所有专业学生或某几类学科专业学生，也应具有一定的学术科技含量，要控制课程学时数，提高课程教学质量，体现课程内容精品化、融汇性、实用性、专题性等原则，每门课以1-2学分为宜。各学院按学校规定比例开设课程供全校学生选修。实验教学示范中心要积极面向全校学生开设文科综合实验选修课程、理工科综合实验选修课程。</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二、开课管理</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（一）根据学校通识教育选修课程建设需要，重点鼓励教师在以下方面面向全校学生新开课程：</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1.学科前沿类课程：与某一学科的科学研究相结合，向学生介绍国际国内相关学科发展前沿的内容与方法，帮助学生了解学科发展动态，拓展学生学术视野。 </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2.经典导读类课程：立足于中华传统文化传承与现代文化构建，以系列原典研读、经典导读为载体，介绍文学、历史学、哲学、语言学、政治学、经济学、社会学等领域知识，帮助学生了解中华传统文化和现代文明发展，提升学生的文化修养与人文素质。 </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3.区域特色类课程：立足区域发展实际，介绍巴蜀文化和大千文化等，增强学生对区域文化的理解与认识。 </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4.新课改类课程：立足四川省普通中学课程改革实际，结合各学科教学指导意见，加强对学生适应平台新课改能力的培养，尤其加强学生课程资源开发、地方课程与校内课程建设方面的能力培养。 </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创新创业类、技术技能指导类、实践类课程：根据学生开展科研创新需要，加强对学生进行科研方法的训练和指导，提升学生科研创新能力；立足大学生开展关于学生创新创业内容、理念、方法等方面的教育，提升学生创新创业能力，实践类课程帮助学生提升实践能力和就业竞争力。</w:t>
      </w:r>
    </w:p>
    <w:p>
      <w:pPr>
        <w:autoSpaceDE w:val="0"/>
        <w:autoSpaceDN w:val="0"/>
        <w:adjustRightIn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6.艺术类课程：通过课程的开设能陶冶学生情操,有效提升学生的整体素质，真正发挥大学素质教育中艺术学科启迪形象思维、提高审美情趣和综合素质能力。</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三、开课教师条件</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学校鼓励高职称教师开设通识教育选修课，一般应具备以下条件的教师才能开设通识教育选修课：</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1.具有中级及以上职称者或博士学位者。</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2.学校在职在岗人员。</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3.具有高校教师资格证者。</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四、教学管理</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（一）教学要求</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拟申报开课教师填写《内江师范学院通识教育选修课申报表》,经开课学院同意后报教务处，经审批后确认开课资格，进入学校通识教育选修课资源库供学生选修。开设通识教育选修课的教师，应认真编制教学大纲，选用高水平教材或自编讲义，积极进行教学方法与手段改革，积极开展教研活动，按照学校统一进度开课、教学、命题、考试、阅卷、录入成绩。</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2.通识教育选修课的教学管理与校内其他课程的管理要求统一，由开课教师所在的教学单位进行管理，并将其纳入教师所在的教学单位的年度目标考核，以确保课程教学质量。</w:t>
      </w:r>
    </w:p>
    <w:p>
      <w:pPr>
        <w:widowControl/>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sz w:val="24"/>
          <w:szCs w:val="24"/>
        </w:rPr>
        <w:t>（二）</w:t>
      </w:r>
      <w:r>
        <w:rPr>
          <w:rFonts w:hint="eastAsia" w:cs="宋体" w:asciiTheme="minorEastAsia" w:hAnsiTheme="minorEastAsia"/>
          <w:color w:val="000000"/>
          <w:kern w:val="0"/>
          <w:sz w:val="24"/>
          <w:szCs w:val="24"/>
        </w:rPr>
        <w:t>教学方式</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教学方式可采用讲授、交流讨论、实践操作等多种教学方式，引导学生主动学习。</w:t>
      </w:r>
    </w:p>
    <w:p>
      <w:pPr>
        <w:widowControl/>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kern w:val="0"/>
          <w:sz w:val="24"/>
          <w:szCs w:val="24"/>
        </w:rPr>
        <w:t>1.</w:t>
      </w:r>
      <w:r>
        <w:rPr>
          <w:rFonts w:hint="eastAsia" w:cs="宋体" w:asciiTheme="minorEastAsia" w:hAnsiTheme="minorEastAsia"/>
          <w:color w:val="000000"/>
          <w:kern w:val="0"/>
          <w:sz w:val="24"/>
          <w:szCs w:val="24"/>
        </w:rPr>
        <w:t>团队教学</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各课程负责人应根据课程要求，成立两人及以上的教学团队，在课堂教学及课程建设中发挥团队合作的优势。</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2.网络化教学</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教学资源实行网络化，通过教学资源的网络化建设，为学生自学和师生互动搭建平台。</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（三）学籍管理</w:t>
      </w:r>
    </w:p>
    <w:p>
      <w:pPr>
        <w:pStyle w:val="23"/>
        <w:shd w:val="clear" w:color="auto" w:fill="FFFFFF"/>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000000"/>
          <w:sz w:val="24"/>
          <w:szCs w:val="24"/>
        </w:rPr>
        <w:t>1.成立通识选修课课程班委会，选出班长进行常规管理，协助任课教师做好考勤等工作。</w:t>
      </w:r>
      <w:r>
        <w:rPr>
          <w:rFonts w:hint="eastAsia" w:asciiTheme="minorEastAsia" w:hAnsiTheme="minorEastAsia" w:eastAsiaTheme="minorEastAsia"/>
          <w:color w:val="FF0000"/>
          <w:sz w:val="24"/>
          <w:szCs w:val="24"/>
        </w:rPr>
        <w:t xml:space="preserve"> </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2.严格考勤制度，任课教师应坚持双向考勤制度，双向考勤要有明确记录。教务处将不定期抽查教师的考勤情况。</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3.学生无故旷课、旷考，按照《内江师范学院学生学籍管理实施细则（修订）》（内师教字〔2008〕176号）处理。</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（四）考核管理</w:t>
      </w:r>
    </w:p>
    <w:p>
      <w:pPr>
        <w:pStyle w:val="23"/>
        <w:shd w:val="clear" w:color="auto" w:fill="FFFFFF"/>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1.考核方式一般为考查。考查的方式可以采用笔试(开卷或闭卷)、口试、论文、报告、综合设计或实验操作等多种方式进行。</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任课教师要严格课程考核，实行平时成绩和期末成绩相结合的考核方式，综合给出相应的成绩，成绩的评定采用百分制。采用卷面考试方式进行考核的课程，期末试卷应严格遵循认真命题、教研室主任严格审查、分管教学的院长审阅批准的程序；考试内容应以课程教学大纲为依据，覆盖面广，题量合理，题型不得过于单一，难度适中，区分度强。</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3.课程考核时间根据教务处安排的规定的周次进行考核，并向教务处上报具体的考核时间。</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4.在课程考核结束后一周内，任课教师负责成绩登载后将成绩册、考试试卷等相关教学资料提交教务处教学行政管理科归档。</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五、选课程序与开课时间</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1.每学期第14周前由教务处在教务网站上公布下学期开设的全院通识教育选修课的课程名称、学分数、任课教师姓名、课程简介和上课形式、预计人数及开课时间。</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2.学生选课一般安排在每学期的第15-16周完成，导师或班主任应指导本班学生根据网上公布信息选修。</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3.一门课程的选修人数原则上不少于30人，因选修人数达不到开班要求而停开的课程，由教务处会同各学院及时通知学生改选其它课程。</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4.第17周教务处将各学院选课名单统计汇总，排出通识选课课表以及学生名单和班次，各学院将开课课表和学生选课名单通知学生本人。</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学生若因选课不当或课程变动等原因需补退选的安排在新学期第一、二周内进行，第三周开始不再接受退选和补选。未办理补选手续而擅自更改所选修课程的，不能参加该课程的学习和考试。</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六、工作量计算</w:t>
      </w:r>
    </w:p>
    <w:p>
      <w:pPr>
        <w:pStyle w:val="23"/>
        <w:shd w:val="clear" w:color="auto" w:fill="FFFFFF"/>
        <w:spacing w:line="360" w:lineRule="auto"/>
        <w:ind w:firstLine="4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rPr>
        <w:t>1</w:t>
      </w:r>
      <w:r>
        <w:rPr>
          <w:rFonts w:hint="eastAsia" w:asciiTheme="minorEastAsia" w:hAnsiTheme="minorEastAsia" w:eastAsiaTheme="minorEastAsia"/>
          <w:color w:val="000000"/>
          <w:sz w:val="24"/>
          <w:szCs w:val="24"/>
        </w:rPr>
        <w:t>.教师承担通识教育选修课教学任务，由教务处根据教师实际授课时数和学生人数核定其教学工作量，并由各开课学院计入教师业务档案，作为教师考核、评职称的依据。</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2.计算方法：根据任课教师专业技术职务，按当年学校分配政策确定标准班课时酬金基数。</w:t>
      </w:r>
    </w:p>
    <w:p>
      <w:pPr>
        <w:pStyle w:val="23"/>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通识教育选修课程教师课时费用将采用逐步增长的方式。为打造优质资源，鼓励教师开设高质量的通识教育选修课，学校每学期将在已申报的通识教育选修课中建设一批优质通识教育选修课，按照内江师范学院课程建设管理办法实施，支持教师就相应课程建设开展教研活动和教改研究，提高课程教学质量，切实发挥课程实效。具体实施办法另文通知。</w:t>
      </w:r>
    </w:p>
    <w:p>
      <w:pPr>
        <w:pStyle w:val="23"/>
        <w:shd w:val="clear" w:color="auto" w:fill="FFFFFF"/>
        <w:spacing w:line="360" w:lineRule="auto"/>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七、本《办法》自发文之日起执行，由教务处负责解释。</w:t>
      </w:r>
    </w:p>
    <w:p>
      <w:pPr>
        <w:pStyle w:val="23"/>
        <w:shd w:val="clear" w:color="auto" w:fill="FFFFFF"/>
        <w:spacing w:line="360" w:lineRule="auto"/>
        <w:ind w:firstLine="422" w:firstLineChars="200"/>
        <w:rPr>
          <w:rFonts w:asciiTheme="minorEastAsia" w:hAnsiTheme="minorEastAsia" w:eastAsiaTheme="minorEastAsia"/>
          <w:b/>
          <w:color w:val="000000"/>
        </w:rPr>
      </w:pPr>
    </w:p>
    <w:p>
      <w:pPr>
        <w:spacing w:line="44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附件：XX级通识教育选修课开课申报表</w:t>
      </w:r>
    </w:p>
    <w:p>
      <w:pPr>
        <w:pStyle w:val="23"/>
        <w:shd w:val="clear" w:color="auto" w:fill="FFFFFF"/>
        <w:spacing w:line="360" w:lineRule="auto"/>
        <w:ind w:firstLine="420" w:firstLineChars="200"/>
        <w:rPr>
          <w:rFonts w:asciiTheme="minorEastAsia" w:hAnsiTheme="minorEastAsia" w:eastAsiaTheme="minorEastAsia"/>
        </w:rPr>
      </w:pPr>
    </w:p>
    <w:p>
      <w:pPr>
        <w:spacing w:line="360" w:lineRule="auto"/>
        <w:ind w:left="3574" w:hanging="3573" w:hangingChars="1489"/>
        <w:jc w:val="right"/>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二○一二年五月十四日</w:t>
      </w:r>
    </w:p>
    <w:p>
      <w:pPr>
        <w:spacing w:line="360" w:lineRule="auto"/>
      </w:pPr>
    </w:p>
    <w:p>
      <w:pPr>
        <w:spacing w:line="360" w:lineRule="auto"/>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sz w:val="28"/>
          <w:szCs w:val="28"/>
        </w:rPr>
      </w:pPr>
    </w:p>
    <w:p>
      <w:pPr>
        <w:spacing w:line="580" w:lineRule="exact"/>
        <w:rPr>
          <w:rFonts w:ascii="方正仿宋简体" w:eastAsia="方正仿宋简体"/>
          <w:b/>
          <w:sz w:val="28"/>
          <w:szCs w:val="28"/>
        </w:rPr>
      </w:pPr>
      <w:r>
        <w:rPr>
          <w:rFonts w:hint="eastAsia" w:ascii="方正仿宋简体" w:eastAsia="方正仿宋简体"/>
          <w:b/>
          <w:sz w:val="28"/>
          <w:szCs w:val="28"/>
        </w:rPr>
        <w:t>附件</w:t>
      </w:r>
    </w:p>
    <w:p>
      <w:pPr>
        <w:spacing w:line="440" w:lineRule="exact"/>
        <w:jc w:val="center"/>
        <w:rPr>
          <w:rFonts w:ascii="方正黑体简体" w:hAnsi="宋体" w:eastAsia="方正黑体简体"/>
          <w:b/>
          <w:color w:val="000000"/>
          <w:sz w:val="32"/>
          <w:szCs w:val="32"/>
        </w:rPr>
      </w:pPr>
      <w:r>
        <w:rPr>
          <w:rFonts w:hint="eastAsia" w:ascii="方正黑体简体" w:hAnsi="宋体" w:eastAsia="方正黑体简体"/>
          <w:b/>
          <w:color w:val="000000"/>
          <w:sz w:val="32"/>
          <w:szCs w:val="32"/>
        </w:rPr>
        <w:t>XX级通识教育选修课开课申报表</w:t>
      </w:r>
    </w:p>
    <w:p>
      <w:pPr>
        <w:spacing w:line="300" w:lineRule="exact"/>
        <w:ind w:firstLine="643" w:firstLineChars="200"/>
        <w:rPr>
          <w:rFonts w:ascii="宋体" w:hAnsi="宋体" w:eastAsia="宋体"/>
          <w:b/>
          <w:color w:val="000000"/>
          <w:sz w:val="32"/>
          <w:szCs w:val="32"/>
        </w:rPr>
      </w:pPr>
    </w:p>
    <w:p>
      <w:pPr>
        <w:spacing w:line="440" w:lineRule="exact"/>
        <w:ind w:firstLine="420" w:firstLineChars="200"/>
        <w:rPr>
          <w:rFonts w:ascii="宋体" w:hAnsi="宋体" w:eastAsia="宋体"/>
          <w:color w:val="000000"/>
          <w:szCs w:val="21"/>
        </w:rPr>
      </w:pPr>
      <w:r>
        <w:rPr>
          <w:rFonts w:hint="eastAsia" w:ascii="宋体" w:hAnsi="宋体" w:eastAsia="宋体"/>
          <w:color w:val="000000"/>
          <w:szCs w:val="21"/>
        </w:rPr>
        <w:t>课程类别为：人文社会科学系列</w:t>
      </w:r>
      <w:r>
        <w:rPr>
          <w:rFonts w:ascii="宋体" w:hAnsi="宋体" w:eastAsia="宋体"/>
          <w:color w:val="000000"/>
          <w:szCs w:val="21"/>
        </w:rPr>
        <w:t>、</w:t>
      </w:r>
      <w:r>
        <w:rPr>
          <w:rFonts w:hint="eastAsia" w:ascii="宋体" w:hAnsi="宋体" w:eastAsia="宋体"/>
          <w:color w:val="000000"/>
          <w:szCs w:val="21"/>
        </w:rPr>
        <w:t>自然科学与技术系列</w:t>
      </w:r>
      <w:r>
        <w:rPr>
          <w:rFonts w:ascii="宋体" w:hAnsi="宋体" w:eastAsia="宋体"/>
          <w:color w:val="000000"/>
          <w:szCs w:val="21"/>
        </w:rPr>
        <w:t>、</w:t>
      </w:r>
      <w:r>
        <w:rPr>
          <w:rFonts w:hint="eastAsia" w:ascii="宋体" w:hAnsi="宋体" w:eastAsia="宋体"/>
          <w:color w:val="000000"/>
          <w:szCs w:val="21"/>
        </w:rPr>
        <w:t>艺术、体育与健康系列、教师教育系列、综合素质训练及学术讲座</w:t>
      </w:r>
    </w:p>
    <w:tbl>
      <w:tblPr>
        <w:tblStyle w:val="15"/>
        <w:tblpPr w:leftFromText="180" w:rightFromText="180" w:vertAnchor="page" w:horzAnchor="margin" w:tblpY="393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38"/>
        <w:gridCol w:w="362"/>
        <w:gridCol w:w="534"/>
        <w:gridCol w:w="546"/>
        <w:gridCol w:w="522"/>
        <w:gridCol w:w="194"/>
        <w:gridCol w:w="184"/>
        <w:gridCol w:w="898"/>
        <w:gridCol w:w="358"/>
        <w:gridCol w:w="351"/>
        <w:gridCol w:w="11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6" w:type="dxa"/>
            <w:gridSpan w:val="2"/>
            <w:tcBorders>
              <w:top w:val="single" w:color="auto" w:sz="4" w:space="0"/>
              <w:left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开课院部</w:t>
            </w:r>
          </w:p>
        </w:tc>
        <w:tc>
          <w:tcPr>
            <w:tcW w:w="2158" w:type="dxa"/>
            <w:gridSpan w:val="5"/>
            <w:tcBorders>
              <w:top w:val="single" w:color="auto" w:sz="4" w:space="0"/>
            </w:tcBorders>
            <w:vAlign w:val="center"/>
          </w:tcPr>
          <w:p>
            <w:pPr>
              <w:spacing w:line="440" w:lineRule="exact"/>
              <w:jc w:val="center"/>
              <w:rPr>
                <w:rFonts w:ascii="宋体" w:hAnsi="宋体" w:eastAsia="宋体"/>
                <w:color w:val="000000"/>
                <w:szCs w:val="21"/>
              </w:rPr>
            </w:pPr>
          </w:p>
        </w:tc>
        <w:tc>
          <w:tcPr>
            <w:tcW w:w="2925" w:type="dxa"/>
            <w:gridSpan w:val="5"/>
            <w:tcBorders>
              <w:top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课程团队教师、职称</w:t>
            </w:r>
          </w:p>
        </w:tc>
        <w:tc>
          <w:tcPr>
            <w:tcW w:w="2835" w:type="dxa"/>
            <w:gridSpan w:val="2"/>
            <w:tcBorders>
              <w:top w:val="single" w:color="auto" w:sz="4" w:space="0"/>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42" w:type="dxa"/>
            <w:gridSpan w:val="4"/>
            <w:tcBorders>
              <w:left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课程名称</w:t>
            </w:r>
          </w:p>
        </w:tc>
        <w:tc>
          <w:tcPr>
            <w:tcW w:w="2702" w:type="dxa"/>
            <w:gridSpan w:val="6"/>
            <w:vAlign w:val="center"/>
          </w:tcPr>
          <w:p>
            <w:pPr>
              <w:spacing w:line="440" w:lineRule="exact"/>
              <w:jc w:val="center"/>
              <w:rPr>
                <w:rFonts w:ascii="宋体" w:hAnsi="宋体" w:eastAsia="宋体"/>
                <w:color w:val="000000"/>
                <w:szCs w:val="21"/>
              </w:rPr>
            </w:pPr>
          </w:p>
        </w:tc>
        <w:tc>
          <w:tcPr>
            <w:tcW w:w="1485" w:type="dxa"/>
            <w:gridSpan w:val="2"/>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课程类别</w:t>
            </w:r>
          </w:p>
        </w:tc>
        <w:tc>
          <w:tcPr>
            <w:tcW w:w="2835" w:type="dxa"/>
            <w:gridSpan w:val="2"/>
            <w:tcBorders>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42" w:type="dxa"/>
            <w:gridSpan w:val="4"/>
            <w:tcBorders>
              <w:left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是否具有高校教师资格</w:t>
            </w:r>
          </w:p>
        </w:tc>
        <w:tc>
          <w:tcPr>
            <w:tcW w:w="1068" w:type="dxa"/>
            <w:gridSpan w:val="2"/>
            <w:vAlign w:val="center"/>
          </w:tcPr>
          <w:p>
            <w:pPr>
              <w:spacing w:line="440" w:lineRule="exact"/>
              <w:jc w:val="center"/>
              <w:rPr>
                <w:rFonts w:ascii="宋体" w:hAnsi="宋体" w:eastAsia="宋体"/>
                <w:color w:val="000000"/>
                <w:szCs w:val="21"/>
              </w:rPr>
            </w:pPr>
          </w:p>
        </w:tc>
        <w:tc>
          <w:tcPr>
            <w:tcW w:w="1276" w:type="dxa"/>
            <w:gridSpan w:val="3"/>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所学专业</w:t>
            </w:r>
          </w:p>
        </w:tc>
        <w:tc>
          <w:tcPr>
            <w:tcW w:w="1843" w:type="dxa"/>
            <w:gridSpan w:val="3"/>
            <w:vAlign w:val="center"/>
          </w:tcPr>
          <w:p>
            <w:pPr>
              <w:spacing w:line="440" w:lineRule="exact"/>
              <w:jc w:val="center"/>
              <w:rPr>
                <w:rFonts w:ascii="宋体" w:hAnsi="宋体" w:eastAsia="宋体"/>
                <w:color w:val="000000"/>
                <w:szCs w:val="21"/>
              </w:rPr>
            </w:pPr>
          </w:p>
        </w:tc>
        <w:tc>
          <w:tcPr>
            <w:tcW w:w="1134" w:type="dxa"/>
            <w:vAlign w:val="center"/>
          </w:tcPr>
          <w:p>
            <w:pPr>
              <w:spacing w:line="260" w:lineRule="exact"/>
              <w:jc w:val="center"/>
              <w:rPr>
                <w:rFonts w:ascii="宋体" w:hAnsi="宋体" w:eastAsia="宋体"/>
                <w:color w:val="000000"/>
                <w:szCs w:val="21"/>
              </w:rPr>
            </w:pPr>
            <w:r>
              <w:rPr>
                <w:rFonts w:hint="eastAsia" w:ascii="宋体" w:hAnsi="宋体" w:eastAsia="宋体"/>
                <w:color w:val="000000"/>
                <w:szCs w:val="21"/>
              </w:rPr>
              <w:t>现从事的</w:t>
            </w:r>
          </w:p>
          <w:p>
            <w:pPr>
              <w:spacing w:line="260" w:lineRule="exact"/>
              <w:jc w:val="center"/>
              <w:rPr>
                <w:rFonts w:ascii="宋体" w:hAnsi="宋体" w:eastAsia="宋体"/>
                <w:color w:val="000000"/>
                <w:szCs w:val="21"/>
              </w:rPr>
            </w:pPr>
            <w:r>
              <w:rPr>
                <w:rFonts w:hint="eastAsia" w:ascii="宋体" w:hAnsi="宋体" w:eastAsia="宋体"/>
                <w:color w:val="000000"/>
                <w:szCs w:val="21"/>
              </w:rPr>
              <w:t>专业</w:t>
            </w:r>
          </w:p>
        </w:tc>
        <w:tc>
          <w:tcPr>
            <w:tcW w:w="1701" w:type="dxa"/>
            <w:tcBorders>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08" w:type="dxa"/>
            <w:tcBorders>
              <w:left w:val="single" w:color="auto" w:sz="4" w:space="0"/>
            </w:tcBorders>
            <w:vAlign w:val="center"/>
          </w:tcPr>
          <w:p>
            <w:pPr>
              <w:spacing w:line="440" w:lineRule="exact"/>
              <w:ind w:firstLine="105" w:firstLineChars="50"/>
              <w:rPr>
                <w:rFonts w:ascii="宋体" w:hAnsi="宋体" w:eastAsia="宋体"/>
                <w:color w:val="000000"/>
                <w:szCs w:val="21"/>
              </w:rPr>
            </w:pPr>
            <w:r>
              <w:rPr>
                <w:rFonts w:hint="eastAsia" w:ascii="宋体" w:hAnsi="宋体" w:eastAsia="宋体"/>
                <w:color w:val="000000"/>
                <w:szCs w:val="21"/>
              </w:rPr>
              <w:t>周学时</w:t>
            </w:r>
          </w:p>
        </w:tc>
        <w:tc>
          <w:tcPr>
            <w:tcW w:w="900" w:type="dxa"/>
            <w:gridSpan w:val="2"/>
            <w:vAlign w:val="center"/>
          </w:tcPr>
          <w:p>
            <w:pPr>
              <w:spacing w:line="440" w:lineRule="exact"/>
              <w:rPr>
                <w:rFonts w:ascii="宋体" w:hAnsi="宋体" w:eastAsia="宋体"/>
                <w:color w:val="000000"/>
                <w:szCs w:val="21"/>
              </w:rPr>
            </w:pPr>
          </w:p>
        </w:tc>
        <w:tc>
          <w:tcPr>
            <w:tcW w:w="1080" w:type="dxa"/>
            <w:gridSpan w:val="2"/>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总学时</w:t>
            </w:r>
          </w:p>
        </w:tc>
        <w:tc>
          <w:tcPr>
            <w:tcW w:w="900" w:type="dxa"/>
            <w:gridSpan w:val="3"/>
            <w:vAlign w:val="center"/>
          </w:tcPr>
          <w:p>
            <w:pPr>
              <w:spacing w:line="320" w:lineRule="exact"/>
              <w:jc w:val="center"/>
              <w:rPr>
                <w:rFonts w:ascii="宋体" w:hAnsi="宋体" w:eastAsia="宋体"/>
                <w:color w:val="000000"/>
                <w:szCs w:val="21"/>
              </w:rPr>
            </w:pPr>
          </w:p>
        </w:tc>
        <w:tc>
          <w:tcPr>
            <w:tcW w:w="1607" w:type="dxa"/>
            <w:gridSpan w:val="3"/>
            <w:vAlign w:val="center"/>
          </w:tcPr>
          <w:p>
            <w:pPr>
              <w:spacing w:line="260" w:lineRule="exact"/>
              <w:jc w:val="center"/>
              <w:rPr>
                <w:rFonts w:ascii="宋体" w:hAnsi="宋体" w:eastAsia="宋体"/>
                <w:color w:val="000000"/>
                <w:szCs w:val="21"/>
              </w:rPr>
            </w:pPr>
            <w:r>
              <w:rPr>
                <w:rFonts w:hint="eastAsia" w:ascii="宋体" w:hAnsi="宋体" w:eastAsia="宋体"/>
                <w:color w:val="000000"/>
                <w:szCs w:val="21"/>
              </w:rPr>
              <w:t>选课人数上限(每班)</w:t>
            </w:r>
          </w:p>
        </w:tc>
        <w:tc>
          <w:tcPr>
            <w:tcW w:w="1134" w:type="dxa"/>
            <w:vAlign w:val="center"/>
          </w:tcPr>
          <w:p>
            <w:pPr>
              <w:spacing w:line="440" w:lineRule="exact"/>
              <w:jc w:val="center"/>
              <w:rPr>
                <w:rFonts w:ascii="宋体" w:hAnsi="宋体" w:eastAsia="宋体"/>
                <w:color w:val="000000"/>
                <w:szCs w:val="21"/>
              </w:rPr>
            </w:pPr>
          </w:p>
        </w:tc>
        <w:tc>
          <w:tcPr>
            <w:tcW w:w="1134" w:type="dxa"/>
            <w:vAlign w:val="center"/>
          </w:tcPr>
          <w:p>
            <w:pPr>
              <w:spacing w:line="320" w:lineRule="exact"/>
              <w:jc w:val="center"/>
              <w:rPr>
                <w:rFonts w:ascii="宋体" w:hAnsi="宋体" w:eastAsia="宋体"/>
                <w:color w:val="000000"/>
                <w:szCs w:val="21"/>
              </w:rPr>
            </w:pPr>
            <w:r>
              <w:rPr>
                <w:rFonts w:hint="eastAsia" w:ascii="宋体" w:hAnsi="宋体" w:eastAsia="宋体"/>
                <w:color w:val="000000"/>
                <w:szCs w:val="21"/>
              </w:rPr>
              <w:t>开班数</w:t>
            </w:r>
          </w:p>
        </w:tc>
        <w:tc>
          <w:tcPr>
            <w:tcW w:w="1701" w:type="dxa"/>
            <w:tcBorders>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42" w:type="dxa"/>
            <w:gridSpan w:val="4"/>
            <w:tcBorders>
              <w:top w:val="single" w:color="auto" w:sz="4" w:space="0"/>
              <w:left w:val="single" w:color="auto" w:sz="4" w:space="0"/>
            </w:tcBorders>
            <w:vAlign w:val="center"/>
          </w:tcPr>
          <w:p>
            <w:pPr>
              <w:spacing w:line="440" w:lineRule="exact"/>
              <w:ind w:firstLine="105" w:firstLineChars="50"/>
              <w:rPr>
                <w:rFonts w:ascii="宋体" w:hAnsi="宋体" w:eastAsia="宋体"/>
                <w:color w:val="000000"/>
                <w:szCs w:val="21"/>
              </w:rPr>
            </w:pPr>
            <w:r>
              <w:rPr>
                <w:rFonts w:hint="eastAsia" w:ascii="宋体" w:hAnsi="宋体" w:eastAsia="宋体"/>
                <w:color w:val="000000"/>
                <w:szCs w:val="21"/>
              </w:rPr>
              <w:t>是否需要多媒体教室</w:t>
            </w:r>
          </w:p>
        </w:tc>
        <w:tc>
          <w:tcPr>
            <w:tcW w:w="1068" w:type="dxa"/>
            <w:gridSpan w:val="2"/>
            <w:tcBorders>
              <w:top w:val="single" w:color="auto" w:sz="4" w:space="0"/>
            </w:tcBorders>
            <w:vAlign w:val="center"/>
          </w:tcPr>
          <w:p>
            <w:pPr>
              <w:spacing w:line="440" w:lineRule="exact"/>
              <w:rPr>
                <w:rFonts w:ascii="宋体" w:hAnsi="宋体" w:eastAsia="宋体"/>
                <w:color w:val="000000"/>
                <w:szCs w:val="21"/>
              </w:rPr>
            </w:pPr>
          </w:p>
        </w:tc>
        <w:tc>
          <w:tcPr>
            <w:tcW w:w="1276" w:type="dxa"/>
            <w:gridSpan w:val="3"/>
            <w:tcBorders>
              <w:top w:val="single" w:color="auto" w:sz="4" w:space="0"/>
              <w:right w:val="single" w:color="auto" w:sz="4" w:space="0"/>
            </w:tcBorders>
            <w:vAlign w:val="center"/>
          </w:tcPr>
          <w:p>
            <w:pPr>
              <w:spacing w:line="320" w:lineRule="exact"/>
              <w:jc w:val="center"/>
              <w:rPr>
                <w:rFonts w:ascii="宋体" w:hAnsi="宋体" w:eastAsia="宋体"/>
                <w:color w:val="000000"/>
                <w:szCs w:val="21"/>
              </w:rPr>
            </w:pPr>
            <w:r>
              <w:rPr>
                <w:rFonts w:hint="eastAsia" w:ascii="宋体" w:hAnsi="宋体" w:eastAsia="宋体"/>
                <w:color w:val="000000"/>
                <w:szCs w:val="21"/>
              </w:rPr>
              <w:t>是否上机</w:t>
            </w:r>
          </w:p>
        </w:tc>
        <w:tc>
          <w:tcPr>
            <w:tcW w:w="1843" w:type="dxa"/>
            <w:gridSpan w:val="3"/>
            <w:tcBorders>
              <w:top w:val="single" w:color="auto" w:sz="4" w:space="0"/>
              <w:left w:val="single" w:color="auto" w:sz="4" w:space="0"/>
            </w:tcBorders>
            <w:vAlign w:val="center"/>
          </w:tcPr>
          <w:p>
            <w:pPr>
              <w:jc w:val="center"/>
              <w:rPr>
                <w:rFonts w:ascii="宋体" w:hAnsi="宋体" w:eastAsia="宋体"/>
                <w:color w:val="000000"/>
                <w:szCs w:val="21"/>
              </w:rPr>
            </w:pPr>
          </w:p>
        </w:tc>
        <w:tc>
          <w:tcPr>
            <w:tcW w:w="1134" w:type="dxa"/>
            <w:tcBorders>
              <w:top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上机周学时</w:t>
            </w:r>
          </w:p>
        </w:tc>
        <w:tc>
          <w:tcPr>
            <w:tcW w:w="1701" w:type="dxa"/>
            <w:tcBorders>
              <w:top w:val="single" w:color="auto" w:sz="4" w:space="0"/>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42" w:type="dxa"/>
            <w:gridSpan w:val="4"/>
            <w:tcBorders>
              <w:left w:val="single" w:color="auto" w:sz="4" w:space="0"/>
            </w:tcBorders>
            <w:vAlign w:val="center"/>
          </w:tcPr>
          <w:p>
            <w:pPr>
              <w:spacing w:line="440" w:lineRule="exact"/>
              <w:jc w:val="center"/>
              <w:rPr>
                <w:rFonts w:ascii="宋体" w:hAnsi="宋体" w:eastAsia="宋体"/>
                <w:color w:val="000000"/>
                <w:szCs w:val="21"/>
              </w:rPr>
            </w:pPr>
            <w:r>
              <w:rPr>
                <w:rFonts w:hint="eastAsia" w:ascii="宋体" w:hAnsi="宋体" w:eastAsia="宋体"/>
                <w:color w:val="000000"/>
                <w:szCs w:val="21"/>
              </w:rPr>
              <w:t>备注</w:t>
            </w:r>
          </w:p>
        </w:tc>
        <w:tc>
          <w:tcPr>
            <w:tcW w:w="7022" w:type="dxa"/>
            <w:gridSpan w:val="10"/>
            <w:tcBorders>
              <w:right w:val="single" w:color="auto" w:sz="4" w:space="0"/>
            </w:tcBorders>
            <w:vAlign w:val="center"/>
          </w:tcPr>
          <w:p>
            <w:pPr>
              <w:spacing w:line="4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0" w:hRule="exact"/>
        </w:trPr>
        <w:tc>
          <w:tcPr>
            <w:tcW w:w="9464" w:type="dxa"/>
            <w:gridSpan w:val="14"/>
            <w:tcBorders>
              <w:left w:val="single" w:color="auto" w:sz="4" w:space="0"/>
              <w:bottom w:val="single" w:color="auto" w:sz="4" w:space="0"/>
              <w:right w:val="single" w:color="auto" w:sz="4" w:space="0"/>
            </w:tcBorders>
          </w:tcPr>
          <w:p>
            <w:pPr>
              <w:spacing w:line="320" w:lineRule="exact"/>
              <w:rPr>
                <w:rFonts w:ascii="宋体" w:hAnsi="宋体" w:eastAsia="宋体"/>
                <w:color w:val="000000"/>
                <w:szCs w:val="21"/>
              </w:rPr>
            </w:pPr>
            <w:r>
              <w:rPr>
                <w:rFonts w:hint="eastAsia" w:ascii="宋体" w:hAnsi="宋体" w:eastAsia="宋体"/>
                <w:color w:val="000000"/>
                <w:szCs w:val="21"/>
              </w:rPr>
              <w:t>课程内容简介：</w:t>
            </w: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firstLine="420" w:firstLineChars="200"/>
              <w:rPr>
                <w:rFonts w:ascii="宋体" w:hAnsi="宋体" w:eastAsia="宋体"/>
                <w:color w:val="000000"/>
                <w:szCs w:val="21"/>
              </w:rPr>
            </w:pPr>
          </w:p>
          <w:p>
            <w:pPr>
              <w:spacing w:line="320" w:lineRule="exact"/>
              <w:ind w:right="420" w:firstLine="5250" w:firstLineChars="2500"/>
              <w:rPr>
                <w:rFonts w:ascii="宋体" w:hAnsi="宋体" w:eastAsia="宋体"/>
                <w:color w:val="000000"/>
                <w:szCs w:val="21"/>
              </w:rPr>
            </w:pPr>
            <w:r>
              <w:rPr>
                <w:rFonts w:hint="eastAsia" w:ascii="宋体" w:hAnsi="宋体" w:eastAsia="宋体"/>
                <w:color w:val="000000"/>
                <w:szCs w:val="21"/>
              </w:rPr>
              <w:t>任课教师（签名）：</w:t>
            </w:r>
          </w:p>
          <w:p>
            <w:pPr>
              <w:spacing w:line="320" w:lineRule="exact"/>
              <w:ind w:firstLine="420" w:firstLineChars="200"/>
              <w:rPr>
                <w:rFonts w:ascii="宋体" w:hAnsi="宋体" w:eastAsia="宋体"/>
                <w:color w:val="000000"/>
                <w:szCs w:val="21"/>
              </w:rPr>
            </w:pPr>
            <w:r>
              <w:rPr>
                <w:rFonts w:hint="eastAsia" w:ascii="宋体" w:hAnsi="宋体" w:eastAsia="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exact"/>
        </w:trPr>
        <w:tc>
          <w:tcPr>
            <w:tcW w:w="9464" w:type="dxa"/>
            <w:gridSpan w:val="14"/>
            <w:tcBorders>
              <w:left w:val="single" w:color="auto" w:sz="4" w:space="0"/>
              <w:right w:val="single" w:color="auto" w:sz="4" w:space="0"/>
            </w:tcBorders>
          </w:tcPr>
          <w:p>
            <w:pPr>
              <w:spacing w:line="440" w:lineRule="exact"/>
              <w:rPr>
                <w:rFonts w:ascii="宋体" w:hAnsi="宋体" w:eastAsia="宋体"/>
                <w:color w:val="000000"/>
                <w:szCs w:val="21"/>
              </w:rPr>
            </w:pPr>
            <w:r>
              <w:rPr>
                <w:rFonts w:hint="eastAsia" w:ascii="宋体" w:hAnsi="宋体" w:eastAsia="宋体"/>
                <w:color w:val="000000"/>
                <w:szCs w:val="21"/>
              </w:rPr>
              <w:t>开课学院意见：</w:t>
            </w:r>
          </w:p>
          <w:p>
            <w:pPr>
              <w:spacing w:line="440" w:lineRule="exact"/>
              <w:ind w:right="420" w:firstLine="420" w:firstLineChars="200"/>
              <w:jc w:val="center"/>
              <w:rPr>
                <w:rFonts w:ascii="宋体" w:hAnsi="宋体" w:eastAsia="宋体"/>
                <w:color w:val="000000"/>
                <w:szCs w:val="21"/>
              </w:rPr>
            </w:pPr>
            <w:r>
              <w:rPr>
                <w:rFonts w:hint="eastAsia" w:ascii="宋体" w:hAnsi="宋体" w:eastAsia="宋体"/>
                <w:color w:val="000000"/>
                <w:szCs w:val="21"/>
              </w:rPr>
              <w:t xml:space="preserve">                                        分管教学院长（签名）：                                               </w:t>
            </w:r>
          </w:p>
          <w:p>
            <w:pPr>
              <w:spacing w:line="440" w:lineRule="exact"/>
              <w:ind w:right="420" w:firstLine="420" w:firstLineChars="200"/>
              <w:jc w:val="center"/>
              <w:rPr>
                <w:rFonts w:ascii="宋体" w:hAnsi="宋体" w:eastAsia="宋体"/>
                <w:color w:val="000000"/>
                <w:szCs w:val="21"/>
              </w:rPr>
            </w:pPr>
            <w:r>
              <w:rPr>
                <w:rFonts w:hint="eastAsia" w:ascii="宋体" w:hAnsi="宋体" w:eastAsia="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exact"/>
        </w:trPr>
        <w:tc>
          <w:tcPr>
            <w:tcW w:w="9464" w:type="dxa"/>
            <w:gridSpan w:val="14"/>
            <w:tcBorders>
              <w:left w:val="single" w:color="auto" w:sz="4" w:space="0"/>
              <w:right w:val="single" w:color="auto" w:sz="4" w:space="0"/>
            </w:tcBorders>
          </w:tcPr>
          <w:p>
            <w:pPr>
              <w:spacing w:line="440" w:lineRule="exact"/>
              <w:rPr>
                <w:rFonts w:ascii="宋体" w:hAnsi="宋体" w:eastAsia="宋体"/>
                <w:color w:val="000000"/>
                <w:szCs w:val="21"/>
              </w:rPr>
            </w:pPr>
            <w:r>
              <w:rPr>
                <w:rFonts w:hint="eastAsia" w:ascii="宋体" w:hAnsi="宋体" w:eastAsia="宋体"/>
                <w:color w:val="000000"/>
                <w:szCs w:val="21"/>
              </w:rPr>
              <w:t>学生评教情况：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exact"/>
        </w:trPr>
        <w:tc>
          <w:tcPr>
            <w:tcW w:w="9464" w:type="dxa"/>
            <w:gridSpan w:val="14"/>
            <w:tcBorders>
              <w:left w:val="single" w:color="auto" w:sz="4" w:space="0"/>
              <w:bottom w:val="single" w:color="auto" w:sz="4" w:space="0"/>
              <w:right w:val="single" w:color="auto" w:sz="4" w:space="0"/>
            </w:tcBorders>
          </w:tcPr>
          <w:p>
            <w:pPr>
              <w:spacing w:line="440" w:lineRule="exact"/>
              <w:rPr>
                <w:rFonts w:ascii="宋体" w:hAnsi="宋体" w:eastAsia="宋体"/>
                <w:color w:val="000000"/>
                <w:szCs w:val="21"/>
              </w:rPr>
            </w:pPr>
            <w:r>
              <w:rPr>
                <w:rFonts w:hint="eastAsia" w:ascii="宋体" w:hAnsi="宋体" w:eastAsia="宋体"/>
                <w:color w:val="000000"/>
                <w:szCs w:val="21"/>
              </w:rPr>
              <w:t xml:space="preserve">专家评审意见： </w:t>
            </w:r>
          </w:p>
          <w:p>
            <w:pPr>
              <w:spacing w:line="440" w:lineRule="exact"/>
              <w:ind w:right="945" w:firstLine="210" w:firstLineChars="100"/>
              <w:jc w:val="center"/>
              <w:rPr>
                <w:rFonts w:ascii="宋体" w:hAnsi="宋体" w:eastAsia="宋体"/>
                <w:color w:val="000000"/>
                <w:szCs w:val="21"/>
              </w:rPr>
            </w:pPr>
            <w:r>
              <w:rPr>
                <w:rFonts w:hint="eastAsia" w:ascii="宋体" w:hAnsi="宋体" w:eastAsia="宋体"/>
                <w:color w:val="000000"/>
                <w:szCs w:val="21"/>
              </w:rPr>
              <w:t xml:space="preserve">                                        签名：            年    月   日</w:t>
            </w:r>
          </w:p>
        </w:tc>
      </w:tr>
    </w:tbl>
    <w:p/>
    <w:p>
      <w:pPr>
        <w:spacing w:line="360" w:lineRule="auto"/>
        <w:rPr>
          <w:rFonts w:ascii="宋体" w:hAnsi="宋体"/>
          <w:sz w:val="24"/>
        </w:rPr>
      </w:pPr>
      <w:r>
        <w:rPr>
          <w:rFonts w:hint="eastAsia" w:ascii="宋体" w:hAnsi="宋体"/>
          <w:sz w:val="24"/>
        </w:rPr>
        <w:br w:type="page"/>
      </w:r>
    </w:p>
    <w:p>
      <w:pPr>
        <w:spacing w:line="560" w:lineRule="exact"/>
        <w:jc w:val="center"/>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内江师范学院关于建设优质通识教育选修课的通知</w:t>
      </w:r>
    </w:p>
    <w:p>
      <w:pPr>
        <w:spacing w:line="56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内师教字〔2012〕59号</w:t>
      </w:r>
    </w:p>
    <w:p>
      <w:pPr>
        <w:widowControl/>
        <w:spacing w:line="560" w:lineRule="exact"/>
        <w:ind w:firstLine="420" w:firstLineChars="200"/>
        <w:rPr>
          <w:rFonts w:ascii="方正仿宋简体" w:hAnsi="宋体" w:eastAsia="方正仿宋简体" w:cs="宋体"/>
          <w:color w:val="000000"/>
          <w:kern w:val="0"/>
          <w:szCs w:val="32"/>
        </w:rPr>
      </w:pP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为了鼓励优秀的教学团队开设高质量的通识教育选修课，提高通识教育选修课的教育教学质量，学校每学期拟在已开设的通识教育选修课中建设一批优质通识教育选修课，通过教学理念的更新和教学方式的多样化改革，引导学生广泛涉猎不同学科领域，学习不同学科的思维方法，培养学生发现问题、分析问题和解决问题的能力，在对学生的价值引导、知识拓展等方面发挥重要作用。</w:t>
      </w:r>
    </w:p>
    <w:p>
      <w:pPr>
        <w:widowControl/>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一、建设目标</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1.具有一支学术水平、教学水平较高、结构合理、教学效果好的教师团队。</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2.具有健全、规范的课程教学管理制度和教学资源。</w:t>
      </w:r>
    </w:p>
    <w:p>
      <w:pPr>
        <w:widowControl/>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二、申报程序</w:t>
      </w:r>
    </w:p>
    <w:p>
      <w:pPr>
        <w:pStyle w:val="23"/>
        <w:shd w:val="clear" w:color="auto" w:fill="FFFFFF"/>
        <w:spacing w:line="360" w:lineRule="auto"/>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1.以课程团队的形式（不少于3人的教学团队）申报，课程团队的成员必须是副教授及以上职称或博士。</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2.课程负责人所在二级学院推荐报教务处，推荐的门数原则上不超过2门。</w:t>
      </w:r>
    </w:p>
    <w:p>
      <w:pPr>
        <w:widowControl/>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三、评审程序</w:t>
      </w:r>
    </w:p>
    <w:p>
      <w:pPr>
        <w:widowControl/>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color w:val="000000"/>
          <w:kern w:val="0"/>
          <w:sz w:val="24"/>
          <w:szCs w:val="24"/>
        </w:rPr>
        <w:t>1.教务处组织专家组对二级学院（教学单位）推荐的课程进行随机听课，并采用“专家评教+学生评教+开课院（部）评教”（按一定比例的权重）的方式评审,评审指标按照《优质通识教育选修课程建设立项评选参考指标》。</w:t>
      </w:r>
      <w:r>
        <w:rPr>
          <w:rFonts w:hint="eastAsia" w:cs="宋体" w:asciiTheme="minorEastAsia" w:hAnsiTheme="minorEastAsia"/>
          <w:kern w:val="0"/>
          <w:sz w:val="24"/>
          <w:szCs w:val="24"/>
        </w:rPr>
        <w:t xml:space="preserve"> </w:t>
      </w:r>
    </w:p>
    <w:p>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2.评审贯彻公平竞争、择优资助的原则。建设门数不超过当学期开设的通识教育选修课程门数的20%，并报学校学术委员会评审通过。</w:t>
      </w:r>
    </w:p>
    <w:p>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3.学校学术委员会评审通过的课程，经学校院长办公会审议通过后，在学校校园网公示一周，无异议后正式发文。如有异议，经学校学术委员会复核，最后送交学校院长办公会审定。</w:t>
      </w:r>
    </w:p>
    <w:p>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4.经审定后的优质通识教育选修课程，由学校正式批文下达，作为教改项目立项建设。</w:t>
      </w:r>
    </w:p>
    <w:p>
      <w:pPr>
        <w:widowControl/>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四、申报时间</w:t>
      </w:r>
    </w:p>
    <w:p>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优质通识教育选修课程的申报时间按当年教务处通知的截止申报时间为准，课程负责人填写《内江师范学院优质通识教育选修课程建设立项申报表》（附件），经所在教学单位推荐后报教务处。每学期申报一次。</w:t>
      </w:r>
    </w:p>
    <w:p>
      <w:pPr>
        <w:widowControl/>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五、建设要求及经费</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优质通识教育选修课程自申报之日起，教学大纲、授课教案、多媒体课件、习题、实验指导等教学资源必须全部上传到网络平台，为学生提供自助学习的平台，课程团队要保证建设的课程在网上能正常运行、维护和升级。立项建设的优质通识教育选修课将视同校级教改项目，并参照校级教改项目进行管理，其课程负责人和主讲教师在岗位聘任、职称评定、教研工作量等方面享受相关待遇。</w:t>
      </w:r>
    </w:p>
    <w:p>
      <w:pPr>
        <w:widowControl/>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立项建设的优质通识教育选修课，如果达到选修课开班要求（人数不低于30人），必须开设，并且建设周期不少于三年；建设期内不得随意更换课程负责人，也不得随意停开。如有特殊原因确需更换课程负责人或停开通识教育选修课程，需提出书面申请，征得教务处批准。</w:t>
      </w:r>
    </w:p>
    <w:p>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3.学校将按照《内江师范学院课程建设管理办法》进行管理，并给予经费资助每门3000元，支持教师开展教研和教改研究，课程建设经费实行专款专用。</w:t>
      </w:r>
    </w:p>
    <w:p>
      <w:pPr>
        <w:pStyle w:val="23"/>
        <w:shd w:val="clear" w:color="auto" w:fill="FFFFFF"/>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w:t>
      </w:r>
    </w:p>
    <w:p>
      <w:pPr>
        <w:spacing w:line="360" w:lineRule="auto"/>
        <w:rPr>
          <w:rFonts w:asciiTheme="minorEastAsia" w:hAnsiTheme="minorEastAsia"/>
          <w:sz w:val="24"/>
          <w:szCs w:val="24"/>
        </w:rPr>
      </w:pPr>
    </w:p>
    <w:p>
      <w:pPr>
        <w:spacing w:line="360" w:lineRule="auto"/>
        <w:ind w:left="3574" w:hanging="3573" w:hangingChars="1489"/>
        <w:jc w:val="right"/>
        <w:rPr>
          <w:rFonts w:asciiTheme="minorEastAsia" w:hAnsiTheme="minorEastAsia"/>
          <w:sz w:val="24"/>
          <w:szCs w:val="24"/>
        </w:rPr>
      </w:pPr>
      <w:r>
        <w:rPr>
          <w:rFonts w:hint="eastAsia" w:asciiTheme="minorEastAsia" w:hAnsiTheme="minorEastAsia"/>
          <w:sz w:val="24"/>
          <w:szCs w:val="24"/>
        </w:rPr>
        <w:t>二○一二年五月十四日</w:t>
      </w: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br w:type="page"/>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内江师范学院教学成果奖评审办法（修订）</w:t>
      </w:r>
    </w:p>
    <w:p>
      <w:pPr>
        <w:spacing w:line="5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内师教字</w:t>
      </w:r>
      <w:r>
        <w:rPr>
          <w:rFonts w:hint="eastAsia" w:asciiTheme="majorEastAsia" w:hAnsiTheme="majorEastAsia" w:eastAsiaTheme="majorEastAsia"/>
          <w:b/>
          <w:sz w:val="30"/>
          <w:szCs w:val="30"/>
        </w:rPr>
        <w:t>〔201</w:t>
      </w:r>
      <w:r>
        <w:rPr>
          <w:rFonts w:asciiTheme="majorEastAsia" w:hAnsiTheme="majorEastAsia" w:eastAsiaTheme="majorEastAsia"/>
          <w:b/>
          <w:sz w:val="30"/>
          <w:szCs w:val="30"/>
        </w:rPr>
        <w:t>5</w:t>
      </w:r>
      <w:r>
        <w:rPr>
          <w:rFonts w:hint="eastAsia" w:asciiTheme="majorEastAsia" w:hAnsiTheme="majorEastAsia" w:eastAsiaTheme="majorEastAsia"/>
          <w:b/>
          <w:sz w:val="30"/>
          <w:szCs w:val="30"/>
        </w:rPr>
        <w:t>〕</w:t>
      </w:r>
      <w:r>
        <w:rPr>
          <w:rFonts w:hint="eastAsia" w:asciiTheme="majorEastAsia" w:hAnsiTheme="majorEastAsia" w:eastAsiaTheme="majorEastAsia"/>
          <w:b/>
          <w:sz w:val="28"/>
          <w:szCs w:val="28"/>
        </w:rPr>
        <w:t>42号</w:t>
      </w:r>
    </w:p>
    <w:p>
      <w:pPr>
        <w:spacing w:line="560" w:lineRule="exact"/>
        <w:ind w:firstLine="538" w:firstLineChars="200"/>
        <w:jc w:val="center"/>
        <w:outlineLvl w:val="0"/>
        <w:rPr>
          <w:rFonts w:ascii="仿宋_GB2312" w:hAnsi="宋体" w:eastAsia="仿宋_GB2312" w:cs="宋体"/>
          <w:b/>
          <w:spacing w:val="-6"/>
          <w:kern w:val="0"/>
          <w:sz w:val="28"/>
          <w:szCs w:val="28"/>
        </w:rPr>
      </w:pPr>
    </w:p>
    <w:p>
      <w:pPr>
        <w:spacing w:line="480" w:lineRule="exact"/>
        <w:ind w:firstLine="538" w:firstLineChars="200"/>
        <w:jc w:val="center"/>
        <w:outlineLvl w:val="0"/>
        <w:rPr>
          <w:rFonts w:ascii="仿宋_GB2312" w:hAnsi="宋体" w:eastAsia="仿宋_GB2312" w:cs="宋体"/>
          <w:b/>
          <w:spacing w:val="-6"/>
          <w:kern w:val="0"/>
          <w:sz w:val="28"/>
          <w:szCs w:val="28"/>
        </w:rPr>
      </w:pPr>
      <w:r>
        <w:rPr>
          <w:rFonts w:hint="eastAsia" w:ascii="仿宋_GB2312" w:hAnsi="宋体" w:eastAsia="仿宋_GB2312" w:cs="宋体"/>
          <w:b/>
          <w:spacing w:val="-6"/>
          <w:kern w:val="0"/>
          <w:sz w:val="28"/>
          <w:szCs w:val="28"/>
        </w:rPr>
        <w:t>第一章  总则</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第一条</w:t>
      </w:r>
      <w:r>
        <w:rPr>
          <w:rFonts w:hint="eastAsia" w:cs="宋体" w:asciiTheme="minorEastAsia" w:hAnsiTheme="minorEastAsia"/>
          <w:spacing w:val="-6"/>
          <w:kern w:val="0"/>
          <w:sz w:val="24"/>
          <w:szCs w:val="24"/>
        </w:rPr>
        <w:t xml:space="preserve">  为全面贯彻党的教育方针，推进高等学校本科教学质量与教学改革工程深入实施，</w:t>
      </w:r>
      <w:r>
        <w:rPr>
          <w:rFonts w:cs="宋体" w:asciiTheme="minorEastAsia" w:hAnsiTheme="minorEastAsia"/>
          <w:spacing w:val="-6"/>
          <w:kern w:val="0"/>
          <w:sz w:val="24"/>
          <w:szCs w:val="24"/>
        </w:rPr>
        <w:t>根据</w:t>
      </w:r>
      <w:r>
        <w:rPr>
          <w:rFonts w:hint="eastAsia" w:cs="宋体" w:asciiTheme="minorEastAsia" w:hAnsiTheme="minorEastAsia"/>
          <w:spacing w:val="-6"/>
          <w:kern w:val="0"/>
          <w:sz w:val="24"/>
          <w:szCs w:val="24"/>
        </w:rPr>
        <w:t>国务院</w:t>
      </w:r>
      <w:r>
        <w:rPr>
          <w:rFonts w:cs="宋体" w:asciiTheme="minorEastAsia" w:hAnsiTheme="minorEastAsia"/>
          <w:spacing w:val="-6"/>
          <w:kern w:val="0"/>
          <w:sz w:val="24"/>
          <w:szCs w:val="24"/>
        </w:rPr>
        <w:t>《教学成果奖励条例》</w:t>
      </w:r>
      <w:r>
        <w:rPr>
          <w:rFonts w:hint="eastAsia" w:cs="宋体" w:asciiTheme="minorEastAsia" w:hAnsiTheme="minorEastAsia"/>
          <w:spacing w:val="-6"/>
          <w:kern w:val="0"/>
          <w:sz w:val="24"/>
          <w:szCs w:val="24"/>
        </w:rPr>
        <w:t>（中华人民共和国国务院令第151号）</w:t>
      </w:r>
      <w:r>
        <w:rPr>
          <w:rFonts w:cs="宋体" w:asciiTheme="minorEastAsia" w:hAnsiTheme="minorEastAsia"/>
          <w:spacing w:val="-6"/>
          <w:kern w:val="0"/>
          <w:sz w:val="24"/>
          <w:szCs w:val="24"/>
        </w:rPr>
        <w:t>和《四川省教学成果奖励办法》</w:t>
      </w:r>
      <w:r>
        <w:rPr>
          <w:rFonts w:hint="eastAsia" w:cs="宋体" w:asciiTheme="minorEastAsia" w:hAnsiTheme="minorEastAsia"/>
          <w:spacing w:val="-6"/>
          <w:kern w:val="0"/>
          <w:sz w:val="24"/>
          <w:szCs w:val="24"/>
        </w:rPr>
        <w:t>（四川省人民政府令第92号）</w:t>
      </w:r>
      <w:r>
        <w:rPr>
          <w:rFonts w:cs="宋体" w:asciiTheme="minorEastAsia" w:hAnsiTheme="minorEastAsia"/>
          <w:spacing w:val="-6"/>
          <w:kern w:val="0"/>
          <w:sz w:val="24"/>
          <w:szCs w:val="24"/>
        </w:rPr>
        <w:t>，结合</w:t>
      </w:r>
      <w:r>
        <w:rPr>
          <w:rFonts w:hint="eastAsia" w:cs="宋体" w:asciiTheme="minorEastAsia" w:hAnsiTheme="minorEastAsia"/>
          <w:spacing w:val="-6"/>
          <w:kern w:val="0"/>
          <w:sz w:val="24"/>
          <w:szCs w:val="24"/>
        </w:rPr>
        <w:t>学校</w:t>
      </w:r>
      <w:r>
        <w:rPr>
          <w:rFonts w:cs="宋体" w:asciiTheme="minorEastAsia" w:hAnsiTheme="minorEastAsia"/>
          <w:spacing w:val="-6"/>
          <w:kern w:val="0"/>
          <w:sz w:val="24"/>
          <w:szCs w:val="24"/>
        </w:rPr>
        <w:t xml:space="preserve">实际，制订本办法。 </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 xml:space="preserve">第二条 </w:t>
      </w:r>
      <w:r>
        <w:rPr>
          <w:rFonts w:hint="eastAsia" w:cs="宋体" w:asciiTheme="minorEastAsia" w:hAnsiTheme="minorEastAsia"/>
          <w:spacing w:val="-6"/>
          <w:kern w:val="0"/>
          <w:sz w:val="24"/>
          <w:szCs w:val="24"/>
        </w:rPr>
        <w:t xml:space="preserve"> </w:t>
      </w:r>
      <w:r>
        <w:rPr>
          <w:rFonts w:cs="宋体" w:asciiTheme="minorEastAsia" w:hAnsiTheme="minorEastAsia"/>
          <w:spacing w:val="-6"/>
          <w:kern w:val="0"/>
          <w:sz w:val="24"/>
          <w:szCs w:val="24"/>
        </w:rPr>
        <w:t>教学成果奖是</w:t>
      </w:r>
      <w:r>
        <w:rPr>
          <w:rFonts w:hint="eastAsia" w:cs="宋体" w:asciiTheme="minorEastAsia" w:hAnsiTheme="minorEastAsia"/>
          <w:spacing w:val="-6"/>
          <w:kern w:val="0"/>
          <w:sz w:val="24"/>
          <w:szCs w:val="24"/>
        </w:rPr>
        <w:t>学校</w:t>
      </w:r>
      <w:r>
        <w:rPr>
          <w:rFonts w:cs="宋体" w:asciiTheme="minorEastAsia" w:hAnsiTheme="minorEastAsia"/>
          <w:spacing w:val="-6"/>
          <w:kern w:val="0"/>
          <w:sz w:val="24"/>
          <w:szCs w:val="24"/>
        </w:rPr>
        <w:t>教学方面的最高奖项，授予我</w:t>
      </w:r>
      <w:r>
        <w:rPr>
          <w:rFonts w:hint="eastAsia" w:cs="宋体" w:asciiTheme="minorEastAsia" w:hAnsiTheme="minorEastAsia"/>
          <w:spacing w:val="-6"/>
          <w:kern w:val="0"/>
          <w:sz w:val="24"/>
          <w:szCs w:val="24"/>
        </w:rPr>
        <w:t>校</w:t>
      </w:r>
      <w:r>
        <w:rPr>
          <w:rFonts w:cs="宋体" w:asciiTheme="minorEastAsia" w:hAnsiTheme="minorEastAsia"/>
          <w:spacing w:val="-6"/>
          <w:kern w:val="0"/>
          <w:sz w:val="24"/>
          <w:szCs w:val="24"/>
        </w:rPr>
        <w:t>在教育教学工作中做出</w:t>
      </w:r>
      <w:r>
        <w:rPr>
          <w:rFonts w:hint="eastAsia" w:cs="宋体" w:asciiTheme="minorEastAsia" w:hAnsiTheme="minorEastAsia"/>
          <w:spacing w:val="-6"/>
          <w:kern w:val="0"/>
          <w:sz w:val="24"/>
          <w:szCs w:val="24"/>
        </w:rPr>
        <w:t>突出</w:t>
      </w:r>
      <w:r>
        <w:rPr>
          <w:rFonts w:cs="宋体" w:asciiTheme="minorEastAsia" w:hAnsiTheme="minorEastAsia"/>
          <w:spacing w:val="-6"/>
          <w:kern w:val="0"/>
          <w:sz w:val="24"/>
          <w:szCs w:val="24"/>
        </w:rPr>
        <w:t>贡献，取得显著成果的集体和个人。主要目的是调动教育工作者的积极性和创造性，积极开展教育教学研究，深化教学改革，加强教学建设，</w:t>
      </w:r>
      <w:r>
        <w:rPr>
          <w:rFonts w:hint="eastAsia" w:cs="宋体" w:asciiTheme="minorEastAsia" w:hAnsiTheme="minorEastAsia"/>
          <w:spacing w:val="-6"/>
          <w:kern w:val="0"/>
          <w:sz w:val="24"/>
          <w:szCs w:val="24"/>
        </w:rPr>
        <w:t>强化教学管理，</w:t>
      </w:r>
      <w:r>
        <w:rPr>
          <w:rFonts w:cs="宋体" w:asciiTheme="minorEastAsia" w:hAnsiTheme="minorEastAsia"/>
          <w:spacing w:val="-6"/>
          <w:kern w:val="0"/>
          <w:sz w:val="24"/>
          <w:szCs w:val="24"/>
        </w:rPr>
        <w:t>不断提高教学水平和教育质量。</w:t>
      </w:r>
    </w:p>
    <w:p>
      <w:pPr>
        <w:spacing w:line="480" w:lineRule="exact"/>
        <w:ind w:firstLine="458" w:firstLineChars="200"/>
        <w:jc w:val="center"/>
        <w:outlineLvl w:val="0"/>
        <w:rPr>
          <w:rFonts w:cs="宋体" w:asciiTheme="minorEastAsia" w:hAnsiTheme="minorEastAsia"/>
          <w:b/>
          <w:spacing w:val="-6"/>
          <w:kern w:val="0"/>
          <w:sz w:val="24"/>
          <w:szCs w:val="24"/>
        </w:rPr>
      </w:pPr>
      <w:r>
        <w:rPr>
          <w:rFonts w:hint="eastAsia" w:cs="宋体" w:asciiTheme="minorEastAsia" w:hAnsiTheme="minorEastAsia"/>
          <w:b/>
          <w:spacing w:val="-6"/>
          <w:kern w:val="0"/>
          <w:sz w:val="24"/>
          <w:szCs w:val="24"/>
        </w:rPr>
        <w:t>第二章   申报范围及条件</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第三条  教学成果主要包括</w:t>
      </w:r>
      <w:r>
        <w:rPr>
          <w:rFonts w:hint="eastAsia" w:cs="宋体" w:asciiTheme="minorEastAsia" w:hAnsiTheme="minorEastAsia"/>
          <w:spacing w:val="-6"/>
          <w:kern w:val="0"/>
          <w:sz w:val="24"/>
          <w:szCs w:val="24"/>
        </w:rPr>
        <w:t>以下几个方面</w:t>
      </w:r>
      <w:r>
        <w:rPr>
          <w:rFonts w:cs="宋体" w:asciiTheme="minorEastAsia" w:hAnsiTheme="minorEastAsia"/>
          <w:spacing w:val="-6"/>
          <w:kern w:val="0"/>
          <w:sz w:val="24"/>
          <w:szCs w:val="24"/>
        </w:rPr>
        <w:t>：</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1. 在教学建设和教学改革方面形成的成果；</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2. 在教学组织和教学管理方面形成的成果；</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3. 在全面实施素质教育,培养学生实践能力和创新能力方面形成的成果；</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4. 在建立提高教育教学质量的长效机制方面形成的成果；</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5. 推广、应用已有的教学成果，并在实践中进一步创新和发展，显著提高办学效益和人才培养质量方面形成的成果。</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w:t>
      </w:r>
      <w:r>
        <w:rPr>
          <w:rFonts w:hint="eastAsia" w:cs="宋体" w:asciiTheme="minorEastAsia" w:hAnsiTheme="minorEastAsia"/>
          <w:spacing w:val="-6"/>
          <w:kern w:val="0"/>
          <w:sz w:val="24"/>
          <w:szCs w:val="24"/>
        </w:rPr>
        <w:t>四</w:t>
      </w:r>
      <w:r>
        <w:rPr>
          <w:rFonts w:cs="宋体" w:asciiTheme="minorEastAsia" w:hAnsiTheme="minorEastAsia"/>
          <w:spacing w:val="-6"/>
          <w:kern w:val="0"/>
          <w:sz w:val="24"/>
          <w:szCs w:val="24"/>
        </w:rPr>
        <w:t xml:space="preserve">条 </w:t>
      </w:r>
      <w:r>
        <w:rPr>
          <w:rFonts w:hint="eastAsia" w:cs="宋体" w:asciiTheme="minorEastAsia" w:hAnsiTheme="minorEastAsia"/>
          <w:spacing w:val="-6"/>
          <w:kern w:val="0"/>
          <w:sz w:val="24"/>
          <w:szCs w:val="24"/>
        </w:rPr>
        <w:t xml:space="preserve"> </w:t>
      </w:r>
      <w:r>
        <w:rPr>
          <w:rFonts w:cs="宋体" w:asciiTheme="minorEastAsia" w:hAnsiTheme="minorEastAsia"/>
          <w:spacing w:val="-6"/>
          <w:kern w:val="0"/>
          <w:sz w:val="24"/>
          <w:szCs w:val="24"/>
        </w:rPr>
        <w:t>教学成果的主要完成人应符合下列条件：</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1. 直接参加教学成果的方案设计、论证、研究和实施全过程。</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 xml:space="preserve">2. </w:t>
      </w:r>
      <w:r>
        <w:rPr>
          <w:rFonts w:cs="宋体" w:asciiTheme="minorEastAsia" w:hAnsiTheme="minorEastAsia"/>
          <w:spacing w:val="-6"/>
          <w:kern w:val="0"/>
          <w:sz w:val="24"/>
          <w:szCs w:val="24"/>
        </w:rPr>
        <w:t>连续三年</w:t>
      </w:r>
      <w:r>
        <w:rPr>
          <w:rFonts w:hint="eastAsia" w:cs="宋体" w:asciiTheme="minorEastAsia" w:hAnsiTheme="minorEastAsia"/>
          <w:spacing w:val="-6"/>
          <w:kern w:val="0"/>
          <w:sz w:val="24"/>
          <w:szCs w:val="24"/>
        </w:rPr>
        <w:t>及</w:t>
      </w:r>
      <w:r>
        <w:rPr>
          <w:rFonts w:cs="宋体" w:asciiTheme="minorEastAsia" w:hAnsiTheme="minorEastAsia"/>
          <w:spacing w:val="-6"/>
          <w:kern w:val="0"/>
          <w:sz w:val="24"/>
          <w:szCs w:val="24"/>
        </w:rPr>
        <w:t>以上从事高等教育教学工作(含教学管理、教学研究和教学辅助工作，下同)</w:t>
      </w:r>
      <w:r>
        <w:rPr>
          <w:rFonts w:hint="eastAsia" w:cs="宋体" w:asciiTheme="minorEastAsia" w:hAnsiTheme="minorEastAsia"/>
          <w:spacing w:val="-6"/>
          <w:kern w:val="0"/>
          <w:sz w:val="24"/>
          <w:szCs w:val="24"/>
        </w:rPr>
        <w:t>的</w:t>
      </w:r>
      <w:r>
        <w:rPr>
          <w:rFonts w:cs="宋体" w:asciiTheme="minorEastAsia" w:hAnsiTheme="minorEastAsia"/>
          <w:spacing w:val="-6"/>
          <w:kern w:val="0"/>
          <w:sz w:val="24"/>
          <w:szCs w:val="24"/>
        </w:rPr>
        <w:t>经历。</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w:t>
      </w:r>
      <w:r>
        <w:rPr>
          <w:rFonts w:hint="eastAsia" w:cs="宋体" w:asciiTheme="minorEastAsia" w:hAnsiTheme="minorEastAsia"/>
          <w:spacing w:val="-6"/>
          <w:kern w:val="0"/>
          <w:sz w:val="24"/>
          <w:szCs w:val="24"/>
        </w:rPr>
        <w:t>五</w:t>
      </w:r>
      <w:r>
        <w:rPr>
          <w:rFonts w:cs="宋体" w:asciiTheme="minorEastAsia" w:hAnsiTheme="minorEastAsia"/>
          <w:spacing w:val="-6"/>
          <w:kern w:val="0"/>
          <w:sz w:val="24"/>
          <w:szCs w:val="24"/>
        </w:rPr>
        <w:t>条</w:t>
      </w:r>
      <w:r>
        <w:rPr>
          <w:rFonts w:hint="eastAsia" w:cs="宋体" w:asciiTheme="minorEastAsia" w:hAnsiTheme="minorEastAsia"/>
          <w:spacing w:val="-6"/>
          <w:kern w:val="0"/>
          <w:sz w:val="24"/>
          <w:szCs w:val="24"/>
        </w:rPr>
        <w:t xml:space="preserve">  成果的主要完成单位，指在成果的方案设计、论证、研究和实施的全过程中做出主要贡献的主要完成人所在单位。</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w:t>
      </w:r>
      <w:r>
        <w:rPr>
          <w:rFonts w:hint="eastAsia" w:cs="宋体" w:asciiTheme="minorEastAsia" w:hAnsiTheme="minorEastAsia"/>
          <w:spacing w:val="-6"/>
          <w:kern w:val="0"/>
          <w:sz w:val="24"/>
          <w:szCs w:val="24"/>
        </w:rPr>
        <w:t>六</w:t>
      </w:r>
      <w:r>
        <w:rPr>
          <w:rFonts w:cs="宋体" w:asciiTheme="minorEastAsia" w:hAnsiTheme="minorEastAsia"/>
          <w:spacing w:val="-6"/>
          <w:kern w:val="0"/>
          <w:sz w:val="24"/>
          <w:szCs w:val="24"/>
        </w:rPr>
        <w:t>条</w:t>
      </w:r>
      <w:r>
        <w:rPr>
          <w:rFonts w:hint="eastAsia" w:cs="宋体" w:asciiTheme="minorEastAsia" w:hAnsiTheme="minorEastAsia"/>
          <w:spacing w:val="-6"/>
          <w:kern w:val="0"/>
          <w:sz w:val="24"/>
          <w:szCs w:val="24"/>
        </w:rPr>
        <w:t xml:space="preserve">  每项成果的主要完成人一般不超过10人，每人参与的成果不得超过两项。</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w:t>
      </w:r>
      <w:r>
        <w:rPr>
          <w:rFonts w:hint="eastAsia" w:cs="宋体" w:asciiTheme="minorEastAsia" w:hAnsiTheme="minorEastAsia"/>
          <w:spacing w:val="-6"/>
          <w:kern w:val="0"/>
          <w:sz w:val="24"/>
          <w:szCs w:val="24"/>
        </w:rPr>
        <w:t>七</w:t>
      </w:r>
      <w:r>
        <w:rPr>
          <w:rFonts w:cs="宋体" w:asciiTheme="minorEastAsia" w:hAnsiTheme="minorEastAsia"/>
          <w:spacing w:val="-6"/>
          <w:kern w:val="0"/>
          <w:sz w:val="24"/>
          <w:szCs w:val="24"/>
        </w:rPr>
        <w:t>条</w:t>
      </w:r>
      <w:r>
        <w:rPr>
          <w:rFonts w:hint="eastAsia" w:cs="宋体" w:asciiTheme="minorEastAsia" w:hAnsiTheme="minorEastAsia"/>
          <w:spacing w:val="-6"/>
          <w:kern w:val="0"/>
          <w:sz w:val="24"/>
          <w:szCs w:val="24"/>
        </w:rPr>
        <w:t xml:space="preserve">  </w:t>
      </w:r>
      <w:r>
        <w:rPr>
          <w:rFonts w:cs="宋体" w:asciiTheme="minorEastAsia" w:hAnsiTheme="minorEastAsia"/>
          <w:spacing w:val="-6"/>
          <w:kern w:val="0"/>
          <w:sz w:val="24"/>
          <w:szCs w:val="24"/>
        </w:rPr>
        <w:t>申报</w:t>
      </w:r>
      <w:r>
        <w:rPr>
          <w:rFonts w:hint="eastAsia" w:cs="宋体" w:asciiTheme="minorEastAsia" w:hAnsiTheme="minorEastAsia"/>
          <w:spacing w:val="-6"/>
          <w:kern w:val="0"/>
          <w:sz w:val="24"/>
          <w:szCs w:val="24"/>
        </w:rPr>
        <w:t>教学</w:t>
      </w:r>
      <w:r>
        <w:rPr>
          <w:rFonts w:cs="宋体" w:asciiTheme="minorEastAsia" w:hAnsiTheme="minorEastAsia"/>
          <w:spacing w:val="-6"/>
          <w:kern w:val="0"/>
          <w:sz w:val="24"/>
          <w:szCs w:val="24"/>
        </w:rPr>
        <w:t>成果奖，由成果的主要完成单位或主要完成人提出申请</w:t>
      </w:r>
      <w:r>
        <w:rPr>
          <w:rFonts w:hint="eastAsia" w:cs="宋体" w:asciiTheme="minorEastAsia" w:hAnsiTheme="minorEastAsia"/>
          <w:spacing w:val="-6"/>
          <w:kern w:val="0"/>
          <w:sz w:val="24"/>
          <w:szCs w:val="24"/>
        </w:rPr>
        <w:t>。</w:t>
      </w:r>
      <w:r>
        <w:rPr>
          <w:rFonts w:cs="宋体" w:asciiTheme="minorEastAsia" w:hAnsiTheme="minorEastAsia"/>
          <w:spacing w:val="-6"/>
          <w:kern w:val="0"/>
          <w:sz w:val="24"/>
          <w:szCs w:val="24"/>
        </w:rPr>
        <w:t>两个或两个以上单位或个人完成的成果，由第一主要完成单位或第一主要完成人提出申请。</w:t>
      </w:r>
      <w:r>
        <w:rPr>
          <w:rFonts w:hint="eastAsia" w:cs="宋体" w:asciiTheme="minorEastAsia" w:hAnsiTheme="minorEastAsia"/>
          <w:spacing w:val="-6"/>
          <w:kern w:val="0"/>
          <w:sz w:val="24"/>
          <w:szCs w:val="24"/>
        </w:rPr>
        <w:t>跨校的若干个人共同完成的教学成果，其第一主要完成人属我校的，可按本办法申报。</w:t>
      </w:r>
    </w:p>
    <w:p>
      <w:pPr>
        <w:spacing w:line="480" w:lineRule="exact"/>
        <w:ind w:firstLine="458" w:firstLineChars="200"/>
        <w:jc w:val="center"/>
        <w:outlineLvl w:val="0"/>
        <w:rPr>
          <w:rFonts w:cs="宋体" w:asciiTheme="minorEastAsia" w:hAnsiTheme="minorEastAsia"/>
          <w:b/>
          <w:spacing w:val="-6"/>
          <w:kern w:val="0"/>
          <w:sz w:val="24"/>
          <w:szCs w:val="24"/>
        </w:rPr>
      </w:pPr>
    </w:p>
    <w:p>
      <w:pPr>
        <w:spacing w:line="480" w:lineRule="exact"/>
        <w:ind w:firstLine="458" w:firstLineChars="200"/>
        <w:jc w:val="center"/>
        <w:outlineLvl w:val="0"/>
        <w:rPr>
          <w:rFonts w:cs="宋体" w:asciiTheme="minorEastAsia" w:hAnsiTheme="minorEastAsia"/>
          <w:b/>
          <w:spacing w:val="-6"/>
          <w:kern w:val="0"/>
          <w:sz w:val="24"/>
          <w:szCs w:val="24"/>
        </w:rPr>
      </w:pPr>
      <w:r>
        <w:rPr>
          <w:rFonts w:hint="eastAsia" w:cs="宋体" w:asciiTheme="minorEastAsia" w:hAnsiTheme="minorEastAsia"/>
          <w:b/>
          <w:spacing w:val="-6"/>
          <w:kern w:val="0"/>
          <w:sz w:val="24"/>
          <w:szCs w:val="24"/>
        </w:rPr>
        <w:t>第三章  评选及奖励</w:t>
      </w:r>
    </w:p>
    <w:p>
      <w:pPr>
        <w:widowControl/>
        <w:spacing w:line="480" w:lineRule="exact"/>
        <w:ind w:firstLine="456" w:firstLineChars="200"/>
        <w:jc w:val="left"/>
        <w:rPr>
          <w:rFonts w:cs="宋体" w:asciiTheme="minorEastAsia" w:hAnsiTheme="minorEastAsia"/>
          <w:spacing w:val="-6"/>
          <w:kern w:val="0"/>
          <w:sz w:val="24"/>
          <w:szCs w:val="24"/>
        </w:rPr>
      </w:pPr>
      <w:r>
        <w:rPr>
          <w:rFonts w:cs="宋体" w:asciiTheme="minorEastAsia" w:hAnsiTheme="minorEastAsia"/>
          <w:spacing w:val="-6"/>
          <w:kern w:val="0"/>
          <w:sz w:val="24"/>
          <w:szCs w:val="24"/>
        </w:rPr>
        <w:t>第</w:t>
      </w:r>
      <w:r>
        <w:rPr>
          <w:rFonts w:hint="eastAsia" w:cs="宋体" w:asciiTheme="minorEastAsia" w:hAnsiTheme="minorEastAsia"/>
          <w:spacing w:val="-6"/>
          <w:kern w:val="0"/>
          <w:sz w:val="24"/>
          <w:szCs w:val="24"/>
        </w:rPr>
        <w:t>八</w:t>
      </w:r>
      <w:r>
        <w:rPr>
          <w:rFonts w:cs="宋体" w:asciiTheme="minorEastAsia" w:hAnsiTheme="minorEastAsia"/>
          <w:spacing w:val="-6"/>
          <w:kern w:val="0"/>
          <w:sz w:val="24"/>
          <w:szCs w:val="24"/>
        </w:rPr>
        <w:t>条</w:t>
      </w:r>
      <w:r>
        <w:rPr>
          <w:rFonts w:hint="eastAsia" w:cs="宋体" w:asciiTheme="minorEastAsia" w:hAnsiTheme="minorEastAsia"/>
          <w:spacing w:val="-6"/>
          <w:kern w:val="0"/>
          <w:sz w:val="24"/>
          <w:szCs w:val="24"/>
        </w:rPr>
        <w:t xml:space="preserve">  评选程序</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1. 每四年评选一次；</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2. 教学单位组织公开选拔推荐，填写教学成果奖申报书并提交相关材料；</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3. 初步审查申报材料；</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4. 教学成果奖由校学术委员会评审，推荐拟获奖成果；</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5. 公示；</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6. 公示无异议，报校长办公会审定。</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第九条  奖励办法</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1. 校级教学成果奖设一等奖、二等奖、三等奖，颁发相应奖金及证书。申报省级教学成果奖在校级一、二等奖中择优推荐；</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2. 教学</w:t>
      </w:r>
      <w:r>
        <w:rPr>
          <w:rFonts w:cs="宋体" w:asciiTheme="minorEastAsia" w:hAnsiTheme="minorEastAsia"/>
          <w:spacing w:val="-6"/>
          <w:kern w:val="0"/>
          <w:sz w:val="24"/>
          <w:szCs w:val="24"/>
        </w:rPr>
        <w:t>成果奖的奖金归获奖者所有</w:t>
      </w:r>
      <w:r>
        <w:rPr>
          <w:rFonts w:hint="eastAsia" w:cs="宋体" w:asciiTheme="minorEastAsia" w:hAnsiTheme="minorEastAsia"/>
          <w:spacing w:val="-6"/>
          <w:kern w:val="0"/>
          <w:sz w:val="24"/>
          <w:szCs w:val="24"/>
        </w:rPr>
        <w:t>，任何单位和个人不得截留；</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3. 获奖成果记入主要完成人的考绩档案，作为评定职称、晋级增薪、评优评奖等的重要依据；</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 xml:space="preserve">4. 凡弄虚作假或剽窃他人成果者，一经查实，撤销奖励，收回证书、奖金，并根据情节轻重予以处理。 </w:t>
      </w:r>
    </w:p>
    <w:p>
      <w:pPr>
        <w:widowControl/>
        <w:spacing w:line="480" w:lineRule="exact"/>
        <w:jc w:val="center"/>
        <w:rPr>
          <w:rFonts w:cs="宋体" w:asciiTheme="minorEastAsia" w:hAnsiTheme="minorEastAsia"/>
          <w:b/>
          <w:spacing w:val="-6"/>
          <w:kern w:val="0"/>
          <w:sz w:val="24"/>
          <w:szCs w:val="24"/>
        </w:rPr>
      </w:pPr>
      <w:r>
        <w:rPr>
          <w:rFonts w:cs="宋体" w:asciiTheme="minorEastAsia" w:hAnsiTheme="minorEastAsia"/>
          <w:b/>
          <w:spacing w:val="-6"/>
          <w:kern w:val="0"/>
          <w:sz w:val="24"/>
          <w:szCs w:val="24"/>
        </w:rPr>
        <w:t>第</w:t>
      </w:r>
      <w:r>
        <w:rPr>
          <w:rFonts w:hint="eastAsia" w:cs="宋体" w:asciiTheme="minorEastAsia" w:hAnsiTheme="minorEastAsia"/>
          <w:b/>
          <w:spacing w:val="-6"/>
          <w:kern w:val="0"/>
          <w:sz w:val="24"/>
          <w:szCs w:val="24"/>
        </w:rPr>
        <w:t>四</w:t>
      </w:r>
      <w:r>
        <w:rPr>
          <w:rFonts w:cs="宋体" w:asciiTheme="minorEastAsia" w:hAnsiTheme="minorEastAsia"/>
          <w:b/>
          <w:spacing w:val="-6"/>
          <w:kern w:val="0"/>
          <w:sz w:val="24"/>
          <w:szCs w:val="24"/>
        </w:rPr>
        <w:t>章 附 则</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第十条</w:t>
      </w:r>
      <w:r>
        <w:rPr>
          <w:rFonts w:cs="宋体" w:asciiTheme="minorEastAsia" w:hAnsiTheme="minorEastAsia"/>
          <w:spacing w:val="-6"/>
          <w:kern w:val="0"/>
          <w:sz w:val="24"/>
          <w:szCs w:val="24"/>
        </w:rPr>
        <w:t xml:space="preserve"> </w:t>
      </w:r>
      <w:r>
        <w:rPr>
          <w:rFonts w:hint="eastAsia" w:cs="宋体" w:asciiTheme="minorEastAsia" w:hAnsiTheme="minorEastAsia"/>
          <w:spacing w:val="-6"/>
          <w:kern w:val="0"/>
          <w:sz w:val="24"/>
          <w:szCs w:val="24"/>
        </w:rPr>
        <w:t xml:space="preserve">  本办法由学校教务处负责解释。</w:t>
      </w:r>
    </w:p>
    <w:p>
      <w:pPr>
        <w:widowControl/>
        <w:spacing w:line="480" w:lineRule="exact"/>
        <w:ind w:firstLine="456" w:firstLineChars="200"/>
        <w:jc w:val="left"/>
        <w:rPr>
          <w:rFonts w:cs="宋体" w:asciiTheme="minorEastAsia" w:hAnsiTheme="minorEastAsia"/>
          <w:spacing w:val="-6"/>
          <w:kern w:val="0"/>
          <w:sz w:val="24"/>
          <w:szCs w:val="24"/>
        </w:rPr>
      </w:pPr>
      <w:r>
        <w:rPr>
          <w:rFonts w:hint="eastAsia" w:cs="宋体" w:asciiTheme="minorEastAsia" w:hAnsiTheme="minorEastAsia"/>
          <w:spacing w:val="-6"/>
          <w:kern w:val="0"/>
          <w:sz w:val="24"/>
          <w:szCs w:val="24"/>
        </w:rPr>
        <w:t>第十一条 本办法从发文之日起执行，原《内江师范学院高等教育教学成果</w:t>
      </w:r>
      <w:r>
        <w:rPr>
          <w:rFonts w:cs="宋体" w:asciiTheme="minorEastAsia" w:hAnsiTheme="minorEastAsia"/>
          <w:spacing w:val="-6"/>
          <w:kern w:val="0"/>
          <w:sz w:val="24"/>
          <w:szCs w:val="24"/>
        </w:rPr>
        <w:t>奖励实施办法</w:t>
      </w:r>
      <w:r>
        <w:rPr>
          <w:rFonts w:hint="eastAsia" w:cs="宋体" w:asciiTheme="minorEastAsia" w:hAnsiTheme="minorEastAsia"/>
          <w:spacing w:val="-6"/>
          <w:kern w:val="0"/>
          <w:sz w:val="24"/>
          <w:szCs w:val="24"/>
        </w:rPr>
        <w:t>》（内师教字〔2008〕152号）同时废止。</w:t>
      </w:r>
    </w:p>
    <w:p>
      <w:pPr>
        <w:spacing w:line="480" w:lineRule="exact"/>
        <w:jc w:val="right"/>
        <w:rPr>
          <w:rFonts w:asciiTheme="minorEastAsia" w:hAnsiTheme="minorEastAsia"/>
          <w:sz w:val="24"/>
          <w:szCs w:val="24"/>
        </w:rPr>
      </w:pPr>
      <w:r>
        <w:rPr>
          <w:rFonts w:hint="eastAsia" w:asciiTheme="minorEastAsia" w:hAnsiTheme="minorEastAsia"/>
          <w:sz w:val="24"/>
          <w:szCs w:val="24"/>
        </w:rPr>
        <w:t xml:space="preserve">                            2015年5月4日</w:t>
      </w:r>
    </w:p>
    <w:p>
      <w:pPr>
        <w:spacing w:line="360" w:lineRule="auto"/>
        <w:rPr>
          <w:rFonts w:ascii="宋体" w:hAnsi="宋体"/>
          <w:sz w:val="24"/>
        </w:rPr>
      </w:pPr>
    </w:p>
    <w:sectPr>
      <w:pgSz w:w="11906" w:h="16838"/>
      <w:pgMar w:top="1417" w:right="1134" w:bottom="1134"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迷你繁褚楷">
    <w:panose1 w:val="02010604000101010101"/>
    <w:charset w:val="86"/>
    <w:family w:val="auto"/>
    <w:pitch w:val="default"/>
    <w:sig w:usb0="00000001" w:usb1="080E0800" w:usb2="00000002"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方正黑体简体">
    <w:panose1 w:val="03000509000000000000"/>
    <w:charset w:val="86"/>
    <w:family w:val="auto"/>
    <w:pitch w:val="default"/>
    <w:sig w:usb0="00000001" w:usb1="080E0000" w:usb2="00000000" w:usb3="00000000" w:csb0="00040000" w:csb1="00000000"/>
  </w:font>
  <w:font w:name="长城仿宋体">
    <w:altName w:val="宋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BE22D"/>
    <w:multiLevelType w:val="singleLevel"/>
    <w:tmpl w:val="D47BE22D"/>
    <w:lvl w:ilvl="0" w:tentative="0">
      <w:start w:val="2"/>
      <w:numFmt w:val="chineseCounting"/>
      <w:suff w:val="space"/>
      <w:lvlText w:val="第%1条"/>
      <w:lvlJc w:val="left"/>
      <w:rPr>
        <w:rFonts w:hint="eastAsia"/>
      </w:rPr>
    </w:lvl>
  </w:abstractNum>
  <w:abstractNum w:abstractNumId="1">
    <w:nsid w:val="0E6034B3"/>
    <w:multiLevelType w:val="multilevel"/>
    <w:tmpl w:val="0E6034B3"/>
    <w:lvl w:ilvl="0" w:tentative="0">
      <w:start w:val="1"/>
      <w:numFmt w:val="decimal"/>
      <w:lvlText w:val="%1、"/>
      <w:lvlJc w:val="left"/>
      <w:pPr>
        <w:tabs>
          <w:tab w:val="left" w:pos="800"/>
        </w:tabs>
        <w:ind w:left="8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0948BDC"/>
    <w:multiLevelType w:val="singleLevel"/>
    <w:tmpl w:val="60948BDC"/>
    <w:lvl w:ilvl="0" w:tentative="0">
      <w:start w:val="2"/>
      <w:numFmt w:val="decimal"/>
      <w:suff w:val="nothing"/>
      <w:lvlText w:val="%1、"/>
      <w:lvlJc w:val="left"/>
    </w:lvl>
  </w:abstractNum>
  <w:abstractNum w:abstractNumId="3">
    <w:nsid w:val="701B0874"/>
    <w:multiLevelType w:val="multilevel"/>
    <w:tmpl w:val="701B0874"/>
    <w:lvl w:ilvl="0" w:tentative="0">
      <w:start w:val="3"/>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2533B3F"/>
    <w:multiLevelType w:val="multilevel"/>
    <w:tmpl w:val="72533B3F"/>
    <w:lvl w:ilvl="0" w:tentative="0">
      <w:start w:val="1"/>
      <w:numFmt w:val="japaneseCounting"/>
      <w:lvlText w:val="（%1）"/>
      <w:lvlJc w:val="left"/>
      <w:pPr>
        <w:ind w:left="1438" w:hanging="876"/>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799E7E5F"/>
    <w:multiLevelType w:val="multilevel"/>
    <w:tmpl w:val="799E7E5F"/>
    <w:lvl w:ilvl="0" w:tentative="0">
      <w:start w:val="1"/>
      <w:numFmt w:val="japaneseCounting"/>
      <w:lvlText w:val="%1、"/>
      <w:lvlJc w:val="left"/>
      <w:pPr>
        <w:tabs>
          <w:tab w:val="left" w:pos="961"/>
        </w:tabs>
        <w:ind w:left="961" w:hanging="720"/>
      </w:pPr>
      <w:rPr>
        <w:rFonts w:hint="default"/>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5"/>
    <w:rsid w:val="00007F22"/>
    <w:rsid w:val="00010C43"/>
    <w:rsid w:val="00012305"/>
    <w:rsid w:val="00014DFA"/>
    <w:rsid w:val="0001628B"/>
    <w:rsid w:val="00023B0B"/>
    <w:rsid w:val="000305F4"/>
    <w:rsid w:val="0003740D"/>
    <w:rsid w:val="00037655"/>
    <w:rsid w:val="000570FB"/>
    <w:rsid w:val="00060FB2"/>
    <w:rsid w:val="0006621D"/>
    <w:rsid w:val="00067809"/>
    <w:rsid w:val="00070B29"/>
    <w:rsid w:val="00084F42"/>
    <w:rsid w:val="00084FF0"/>
    <w:rsid w:val="000866F0"/>
    <w:rsid w:val="000A0BE0"/>
    <w:rsid w:val="000A263F"/>
    <w:rsid w:val="000B63A8"/>
    <w:rsid w:val="000B64B4"/>
    <w:rsid w:val="000B7A6E"/>
    <w:rsid w:val="000C04B5"/>
    <w:rsid w:val="000C762C"/>
    <w:rsid w:val="000C7BFD"/>
    <w:rsid w:val="000D28BB"/>
    <w:rsid w:val="000D45A8"/>
    <w:rsid w:val="000E4179"/>
    <w:rsid w:val="000E6299"/>
    <w:rsid w:val="00102EA4"/>
    <w:rsid w:val="001101A5"/>
    <w:rsid w:val="00112B7F"/>
    <w:rsid w:val="00115607"/>
    <w:rsid w:val="00122BBD"/>
    <w:rsid w:val="00126EF2"/>
    <w:rsid w:val="001304C8"/>
    <w:rsid w:val="0013262F"/>
    <w:rsid w:val="001527DF"/>
    <w:rsid w:val="00155424"/>
    <w:rsid w:val="001645F6"/>
    <w:rsid w:val="00175594"/>
    <w:rsid w:val="0017652D"/>
    <w:rsid w:val="001845F2"/>
    <w:rsid w:val="00194F91"/>
    <w:rsid w:val="001A0D32"/>
    <w:rsid w:val="001B4549"/>
    <w:rsid w:val="001C0703"/>
    <w:rsid w:val="001C2C06"/>
    <w:rsid w:val="001C56B0"/>
    <w:rsid w:val="001C64F8"/>
    <w:rsid w:val="001E30B6"/>
    <w:rsid w:val="001F3818"/>
    <w:rsid w:val="001F5BE4"/>
    <w:rsid w:val="00204BD0"/>
    <w:rsid w:val="0021616F"/>
    <w:rsid w:val="002204A1"/>
    <w:rsid w:val="00225874"/>
    <w:rsid w:val="0023287B"/>
    <w:rsid w:val="00237625"/>
    <w:rsid w:val="00246F51"/>
    <w:rsid w:val="0025456D"/>
    <w:rsid w:val="00256110"/>
    <w:rsid w:val="00256C5E"/>
    <w:rsid w:val="00266B08"/>
    <w:rsid w:val="00271662"/>
    <w:rsid w:val="00275898"/>
    <w:rsid w:val="00294947"/>
    <w:rsid w:val="0029626F"/>
    <w:rsid w:val="002A1200"/>
    <w:rsid w:val="002B5026"/>
    <w:rsid w:val="002C5518"/>
    <w:rsid w:val="002C567B"/>
    <w:rsid w:val="002D1A84"/>
    <w:rsid w:val="002D47D9"/>
    <w:rsid w:val="002E1EB2"/>
    <w:rsid w:val="002F5EE1"/>
    <w:rsid w:val="0030150F"/>
    <w:rsid w:val="003071D0"/>
    <w:rsid w:val="00310A45"/>
    <w:rsid w:val="003127D9"/>
    <w:rsid w:val="003159FB"/>
    <w:rsid w:val="00317BF9"/>
    <w:rsid w:val="00332C4B"/>
    <w:rsid w:val="00332D54"/>
    <w:rsid w:val="0033510F"/>
    <w:rsid w:val="0034184A"/>
    <w:rsid w:val="003533D7"/>
    <w:rsid w:val="00353BC2"/>
    <w:rsid w:val="00355027"/>
    <w:rsid w:val="00360D29"/>
    <w:rsid w:val="003624AB"/>
    <w:rsid w:val="003646F6"/>
    <w:rsid w:val="00371AC5"/>
    <w:rsid w:val="003761EB"/>
    <w:rsid w:val="00391FFF"/>
    <w:rsid w:val="00396FEC"/>
    <w:rsid w:val="003A5BE2"/>
    <w:rsid w:val="003A75B4"/>
    <w:rsid w:val="003D60C5"/>
    <w:rsid w:val="003E0732"/>
    <w:rsid w:val="00402F72"/>
    <w:rsid w:val="004074CD"/>
    <w:rsid w:val="00411050"/>
    <w:rsid w:val="00415194"/>
    <w:rsid w:val="004257F2"/>
    <w:rsid w:val="00425E48"/>
    <w:rsid w:val="00427FE4"/>
    <w:rsid w:val="00430B15"/>
    <w:rsid w:val="00436915"/>
    <w:rsid w:val="004409C5"/>
    <w:rsid w:val="00454518"/>
    <w:rsid w:val="00464CC8"/>
    <w:rsid w:val="0047380E"/>
    <w:rsid w:val="004753FB"/>
    <w:rsid w:val="004817DE"/>
    <w:rsid w:val="0048546F"/>
    <w:rsid w:val="00485738"/>
    <w:rsid w:val="004879AD"/>
    <w:rsid w:val="00496EC4"/>
    <w:rsid w:val="004A09CD"/>
    <w:rsid w:val="004A6A60"/>
    <w:rsid w:val="004A6C15"/>
    <w:rsid w:val="004A71B4"/>
    <w:rsid w:val="004B4EA2"/>
    <w:rsid w:val="004B542E"/>
    <w:rsid w:val="004B6388"/>
    <w:rsid w:val="004C29A8"/>
    <w:rsid w:val="004D00E8"/>
    <w:rsid w:val="004E1994"/>
    <w:rsid w:val="004E2D17"/>
    <w:rsid w:val="004E4A83"/>
    <w:rsid w:val="004F4933"/>
    <w:rsid w:val="00510FBB"/>
    <w:rsid w:val="00516178"/>
    <w:rsid w:val="00520C9B"/>
    <w:rsid w:val="005259AA"/>
    <w:rsid w:val="00530441"/>
    <w:rsid w:val="0053676E"/>
    <w:rsid w:val="00540DBB"/>
    <w:rsid w:val="00567A92"/>
    <w:rsid w:val="005718A2"/>
    <w:rsid w:val="0057267D"/>
    <w:rsid w:val="00584E92"/>
    <w:rsid w:val="0059245F"/>
    <w:rsid w:val="005A1C60"/>
    <w:rsid w:val="005A7299"/>
    <w:rsid w:val="005A74E3"/>
    <w:rsid w:val="005A7CEF"/>
    <w:rsid w:val="005B2981"/>
    <w:rsid w:val="005B4202"/>
    <w:rsid w:val="005B59F5"/>
    <w:rsid w:val="005C2E75"/>
    <w:rsid w:val="005D1461"/>
    <w:rsid w:val="005D4C88"/>
    <w:rsid w:val="005E138D"/>
    <w:rsid w:val="005F25E5"/>
    <w:rsid w:val="00600C62"/>
    <w:rsid w:val="0061207B"/>
    <w:rsid w:val="006215AB"/>
    <w:rsid w:val="00622ECF"/>
    <w:rsid w:val="0062568B"/>
    <w:rsid w:val="006433F5"/>
    <w:rsid w:val="00656BEA"/>
    <w:rsid w:val="00660CA2"/>
    <w:rsid w:val="006704F6"/>
    <w:rsid w:val="00681378"/>
    <w:rsid w:val="00686F47"/>
    <w:rsid w:val="00694CEB"/>
    <w:rsid w:val="00697EC7"/>
    <w:rsid w:val="006A0FCE"/>
    <w:rsid w:val="006A389D"/>
    <w:rsid w:val="006A5F71"/>
    <w:rsid w:val="006A7AC8"/>
    <w:rsid w:val="006B744C"/>
    <w:rsid w:val="006C55B7"/>
    <w:rsid w:val="00703751"/>
    <w:rsid w:val="00722EB9"/>
    <w:rsid w:val="007231B1"/>
    <w:rsid w:val="007271AC"/>
    <w:rsid w:val="00763667"/>
    <w:rsid w:val="00763EA3"/>
    <w:rsid w:val="00767AB6"/>
    <w:rsid w:val="00770F61"/>
    <w:rsid w:val="00772A5C"/>
    <w:rsid w:val="00773265"/>
    <w:rsid w:val="0077446B"/>
    <w:rsid w:val="007755EA"/>
    <w:rsid w:val="007920F8"/>
    <w:rsid w:val="00793D94"/>
    <w:rsid w:val="007B7FEC"/>
    <w:rsid w:val="007C2D9E"/>
    <w:rsid w:val="007D104F"/>
    <w:rsid w:val="007D30DD"/>
    <w:rsid w:val="007D36D8"/>
    <w:rsid w:val="007E35F2"/>
    <w:rsid w:val="007F593A"/>
    <w:rsid w:val="007F7021"/>
    <w:rsid w:val="007F71BF"/>
    <w:rsid w:val="008111D8"/>
    <w:rsid w:val="008217A1"/>
    <w:rsid w:val="00821868"/>
    <w:rsid w:val="0082440E"/>
    <w:rsid w:val="00831372"/>
    <w:rsid w:val="0083245B"/>
    <w:rsid w:val="008360E6"/>
    <w:rsid w:val="008379FF"/>
    <w:rsid w:val="0085096C"/>
    <w:rsid w:val="00853D12"/>
    <w:rsid w:val="008615ED"/>
    <w:rsid w:val="00865C7C"/>
    <w:rsid w:val="008664E9"/>
    <w:rsid w:val="0086691F"/>
    <w:rsid w:val="00874981"/>
    <w:rsid w:val="00886382"/>
    <w:rsid w:val="00893963"/>
    <w:rsid w:val="00894485"/>
    <w:rsid w:val="008A330A"/>
    <w:rsid w:val="008A6753"/>
    <w:rsid w:val="008C7992"/>
    <w:rsid w:val="008D0132"/>
    <w:rsid w:val="008E0546"/>
    <w:rsid w:val="008E4744"/>
    <w:rsid w:val="008E7071"/>
    <w:rsid w:val="008F29A1"/>
    <w:rsid w:val="0090008C"/>
    <w:rsid w:val="00900BE0"/>
    <w:rsid w:val="00902511"/>
    <w:rsid w:val="00902D59"/>
    <w:rsid w:val="00906C80"/>
    <w:rsid w:val="00913C14"/>
    <w:rsid w:val="00922EB5"/>
    <w:rsid w:val="009342B0"/>
    <w:rsid w:val="00940C36"/>
    <w:rsid w:val="0094112B"/>
    <w:rsid w:val="009434EB"/>
    <w:rsid w:val="00946225"/>
    <w:rsid w:val="009529F9"/>
    <w:rsid w:val="0095687F"/>
    <w:rsid w:val="009606A3"/>
    <w:rsid w:val="009728E7"/>
    <w:rsid w:val="009739DD"/>
    <w:rsid w:val="009766DD"/>
    <w:rsid w:val="0097775A"/>
    <w:rsid w:val="0098331E"/>
    <w:rsid w:val="00993D69"/>
    <w:rsid w:val="009968FA"/>
    <w:rsid w:val="009A5A18"/>
    <w:rsid w:val="009B04ED"/>
    <w:rsid w:val="009C0F9C"/>
    <w:rsid w:val="009C0FE6"/>
    <w:rsid w:val="009C589B"/>
    <w:rsid w:val="009F1DB2"/>
    <w:rsid w:val="009F1F61"/>
    <w:rsid w:val="009F3282"/>
    <w:rsid w:val="009F6639"/>
    <w:rsid w:val="009F6C43"/>
    <w:rsid w:val="00A1324F"/>
    <w:rsid w:val="00A3284D"/>
    <w:rsid w:val="00A330A6"/>
    <w:rsid w:val="00A50583"/>
    <w:rsid w:val="00A57011"/>
    <w:rsid w:val="00AA4E09"/>
    <w:rsid w:val="00AA5A43"/>
    <w:rsid w:val="00AC68CD"/>
    <w:rsid w:val="00AD1513"/>
    <w:rsid w:val="00AD2BF4"/>
    <w:rsid w:val="00AE244E"/>
    <w:rsid w:val="00AF266D"/>
    <w:rsid w:val="00AF6C7E"/>
    <w:rsid w:val="00AF78D2"/>
    <w:rsid w:val="00B00B18"/>
    <w:rsid w:val="00B066F9"/>
    <w:rsid w:val="00B06BAF"/>
    <w:rsid w:val="00B12A6E"/>
    <w:rsid w:val="00B25893"/>
    <w:rsid w:val="00B25CAB"/>
    <w:rsid w:val="00B41C87"/>
    <w:rsid w:val="00B51B96"/>
    <w:rsid w:val="00B602A9"/>
    <w:rsid w:val="00B6595D"/>
    <w:rsid w:val="00B65F35"/>
    <w:rsid w:val="00B735B6"/>
    <w:rsid w:val="00B75196"/>
    <w:rsid w:val="00B77FD4"/>
    <w:rsid w:val="00B816A9"/>
    <w:rsid w:val="00B8450E"/>
    <w:rsid w:val="00BA5E44"/>
    <w:rsid w:val="00BA65A5"/>
    <w:rsid w:val="00BD456B"/>
    <w:rsid w:val="00BE1A40"/>
    <w:rsid w:val="00BE3711"/>
    <w:rsid w:val="00BE6A88"/>
    <w:rsid w:val="00BF76B9"/>
    <w:rsid w:val="00C03788"/>
    <w:rsid w:val="00C15E36"/>
    <w:rsid w:val="00C16071"/>
    <w:rsid w:val="00C1776E"/>
    <w:rsid w:val="00C213DD"/>
    <w:rsid w:val="00C224D8"/>
    <w:rsid w:val="00C230F7"/>
    <w:rsid w:val="00C2690A"/>
    <w:rsid w:val="00C36DAC"/>
    <w:rsid w:val="00C455B5"/>
    <w:rsid w:val="00C506A7"/>
    <w:rsid w:val="00C53572"/>
    <w:rsid w:val="00C74A44"/>
    <w:rsid w:val="00C8260A"/>
    <w:rsid w:val="00CA3417"/>
    <w:rsid w:val="00CA47FE"/>
    <w:rsid w:val="00CC2808"/>
    <w:rsid w:val="00CC538D"/>
    <w:rsid w:val="00CC6B36"/>
    <w:rsid w:val="00CD71EA"/>
    <w:rsid w:val="00CE4F6D"/>
    <w:rsid w:val="00CF02DF"/>
    <w:rsid w:val="00D1098F"/>
    <w:rsid w:val="00D14E30"/>
    <w:rsid w:val="00D1506F"/>
    <w:rsid w:val="00D20D8C"/>
    <w:rsid w:val="00D217C2"/>
    <w:rsid w:val="00D27AEB"/>
    <w:rsid w:val="00D30383"/>
    <w:rsid w:val="00D315AC"/>
    <w:rsid w:val="00D52029"/>
    <w:rsid w:val="00D5337E"/>
    <w:rsid w:val="00D60C1D"/>
    <w:rsid w:val="00D728F1"/>
    <w:rsid w:val="00D74B98"/>
    <w:rsid w:val="00D75D09"/>
    <w:rsid w:val="00D8130B"/>
    <w:rsid w:val="00D8457D"/>
    <w:rsid w:val="00D848B7"/>
    <w:rsid w:val="00DC459D"/>
    <w:rsid w:val="00DD6196"/>
    <w:rsid w:val="00DE0876"/>
    <w:rsid w:val="00DE450E"/>
    <w:rsid w:val="00DE7781"/>
    <w:rsid w:val="00DF1C03"/>
    <w:rsid w:val="00DF7C0C"/>
    <w:rsid w:val="00E00223"/>
    <w:rsid w:val="00E00391"/>
    <w:rsid w:val="00E00C53"/>
    <w:rsid w:val="00E068F1"/>
    <w:rsid w:val="00E15BA3"/>
    <w:rsid w:val="00E2061E"/>
    <w:rsid w:val="00E209CB"/>
    <w:rsid w:val="00E2644D"/>
    <w:rsid w:val="00E271F8"/>
    <w:rsid w:val="00E31CC0"/>
    <w:rsid w:val="00E40809"/>
    <w:rsid w:val="00E4753C"/>
    <w:rsid w:val="00E47CE0"/>
    <w:rsid w:val="00E6552F"/>
    <w:rsid w:val="00E70B76"/>
    <w:rsid w:val="00E72BD3"/>
    <w:rsid w:val="00E7348D"/>
    <w:rsid w:val="00E75544"/>
    <w:rsid w:val="00E84F5B"/>
    <w:rsid w:val="00E855EB"/>
    <w:rsid w:val="00E97A61"/>
    <w:rsid w:val="00EA2C68"/>
    <w:rsid w:val="00EB1BED"/>
    <w:rsid w:val="00EB5871"/>
    <w:rsid w:val="00EC0C63"/>
    <w:rsid w:val="00EC2FE1"/>
    <w:rsid w:val="00EC5D62"/>
    <w:rsid w:val="00EC6388"/>
    <w:rsid w:val="00EE321D"/>
    <w:rsid w:val="00EE58ED"/>
    <w:rsid w:val="00F03C02"/>
    <w:rsid w:val="00F12DE4"/>
    <w:rsid w:val="00F13340"/>
    <w:rsid w:val="00F157CD"/>
    <w:rsid w:val="00F276BE"/>
    <w:rsid w:val="00F30F9B"/>
    <w:rsid w:val="00F353B4"/>
    <w:rsid w:val="00F53175"/>
    <w:rsid w:val="00F55F93"/>
    <w:rsid w:val="00F563B0"/>
    <w:rsid w:val="00F625F0"/>
    <w:rsid w:val="00F67BB4"/>
    <w:rsid w:val="00F86ED1"/>
    <w:rsid w:val="00FA3CDC"/>
    <w:rsid w:val="00FA64F3"/>
    <w:rsid w:val="00FA6D10"/>
    <w:rsid w:val="00FD4564"/>
    <w:rsid w:val="0FE56853"/>
    <w:rsid w:val="14305EC5"/>
    <w:rsid w:val="3F92449E"/>
    <w:rsid w:val="4ECA5373"/>
    <w:rsid w:val="5CA50457"/>
    <w:rsid w:val="742B56C0"/>
    <w:rsid w:val="7C7511FE"/>
    <w:rsid w:val="7D17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ind w:firstLine="200" w:firstLineChars="200"/>
      <w:outlineLvl w:val="0"/>
    </w:pPr>
    <w:rPr>
      <w:b/>
      <w:bCs/>
      <w:kern w:val="44"/>
      <w:sz w:val="28"/>
      <w:szCs w:val="44"/>
    </w:rPr>
  </w:style>
  <w:style w:type="paragraph" w:styleId="3">
    <w:name w:val="heading 2"/>
    <w:basedOn w:val="1"/>
    <w:next w:val="1"/>
    <w:unhideWhenUsed/>
    <w:qFormat/>
    <w:uiPriority w:val="9"/>
    <w:pPr>
      <w:keepNext/>
      <w:keepLines/>
      <w:spacing w:line="360" w:lineRule="auto"/>
      <w:ind w:firstLine="200" w:firstLineChars="200"/>
      <w:outlineLvl w:val="1"/>
    </w:pPr>
    <w:rPr>
      <w:rFonts w:ascii="Cambria" w:hAnsi="Cambria" w:eastAsia="仿宋"/>
      <w:b/>
      <w:bCs/>
      <w:sz w:val="28"/>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kern w:val="0"/>
      <w:sz w:val="32"/>
      <w:szCs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99"/>
    <w:rPr>
      <w:rFonts w:eastAsia="仿宋_GB2312"/>
      <w:sz w:val="24"/>
    </w:rPr>
  </w:style>
  <w:style w:type="paragraph" w:styleId="6">
    <w:name w:val="Body Text Indent"/>
    <w:basedOn w:val="1"/>
    <w:uiPriority w:val="0"/>
    <w:pPr>
      <w:spacing w:line="700" w:lineRule="atLeast"/>
      <w:ind w:firstLine="640" w:firstLineChars="200"/>
      <w:jc w:val="left"/>
    </w:pPr>
    <w:rPr>
      <w:rFonts w:ascii="Times New Roman" w:hAnsi="Times New Roman" w:eastAsia="宋体"/>
      <w:szCs w:val="24"/>
    </w:rPr>
  </w:style>
  <w:style w:type="paragraph" w:styleId="7">
    <w:name w:val="Plain Text"/>
    <w:basedOn w:val="1"/>
    <w:qFormat/>
    <w:uiPriority w:val="0"/>
    <w:rPr>
      <w:rFonts w:ascii="宋体" w:hAnsi="Courier New"/>
      <w:szCs w:val="21"/>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qFormat/>
    <w:uiPriority w:val="0"/>
    <w:rPr>
      <w:color w:val="136EC2"/>
      <w:u w:val="single"/>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1"/>
    <w:link w:val="9"/>
    <w:uiPriority w:val="99"/>
    <w:rPr>
      <w:sz w:val="18"/>
      <w:szCs w:val="18"/>
    </w:rPr>
  </w:style>
  <w:style w:type="character" w:customStyle="1" w:styleId="18">
    <w:name w:val="页脚 Char"/>
    <w:basedOn w:val="11"/>
    <w:link w:val="8"/>
    <w:qFormat/>
    <w:uiPriority w:val="99"/>
    <w:rPr>
      <w:sz w:val="18"/>
      <w:szCs w:val="18"/>
    </w:rPr>
  </w:style>
  <w:style w:type="paragraph" w:customStyle="1" w:styleId="19">
    <w:name w:val="西"/>
    <w:basedOn w:val="1"/>
    <w:uiPriority w:val="0"/>
    <w:pPr>
      <w:ind w:firstLine="390" w:firstLineChars="200"/>
    </w:pPr>
    <w:rPr>
      <w:rFonts w:ascii="Times New Roman" w:hAnsi="Times New Roman" w:eastAsia="宋体"/>
      <w:szCs w:val="21"/>
    </w:rPr>
  </w:style>
  <w:style w:type="paragraph" w:styleId="20">
    <w:name w:val="List Paragraph"/>
    <w:basedOn w:val="1"/>
    <w:qFormat/>
    <w:uiPriority w:val="34"/>
    <w:pPr>
      <w:ind w:firstLine="420" w:firstLineChars="200"/>
    </w:pPr>
  </w:style>
  <w:style w:type="character" w:customStyle="1" w:styleId="21">
    <w:name w:val="font10"/>
    <w:basedOn w:val="11"/>
    <w:uiPriority w:val="0"/>
  </w:style>
  <w:style w:type="paragraph" w:customStyle="1" w:styleId="22">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p0"/>
    <w:basedOn w:val="1"/>
    <w:uiPriority w:val="0"/>
    <w:pPr>
      <w:widowControl/>
    </w:pPr>
    <w:rPr>
      <w:rFonts w:ascii="Times New Roman" w:hAnsi="Times New Roman"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331</Pages>
  <Words>220079</Words>
  <Characters>224137</Characters>
  <Lines>1710</Lines>
  <Paragraphs>481</Paragraphs>
  <TotalTime>1</TotalTime>
  <ScaleCrop>false</ScaleCrop>
  <LinksUpToDate>false</LinksUpToDate>
  <CharactersWithSpaces>232098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2018-05-02T08:57:00Z</dcterms:created>
  <dc:creator>谭立新</dc:creator>
  <cp:lastModifiedBy>卓雅数码图文 ②</cp:lastModifiedBy>
  <dcterms:modified xsi:type="dcterms:W3CDTF">2018-11-06T02:31:38Z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